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Microbes are critical players in freshwater systems, where they support essential ecosystem functions such as nutrient cycling. Of the freshwater bacteria, Actinobacteria of the acI lineage are among the most abundant, constituting upwards of 50% of the total bacteria in a variety of aquatic systems</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Despite their abundance, no isolates of the acI lineage have been stably propagated in pure culture.</w:t>
      </w:r>
    </w:p>
    <w:p>
      <w:pPr>
        <w:pStyle w:val="BodyText"/>
      </w:pPr>
      <w:r>
        <w:t xml:space="preserve">Nevertheless, the acI lineage has been extensively studied in a community context using both DNA sequencing and single-cell targeted experiments. The acI have been phylogenetically divided into three clades (A, B, and C) and thirteen tribes on the basis of their 16S rRNA gene sequences</w:t>
      </w:r>
      <w:r>
        <w:t xml:space="preserve"> </w:t>
      </w:r>
      <w:r>
        <w:t xml:space="preserve">(Newton</w:t>
      </w:r>
      <w:r>
        <w:t xml:space="preserve"> </w:t>
      </w:r>
      <w:r>
        <w:rPr>
          <w:i/>
        </w:rPr>
        <w:t xml:space="preserve">et al.</w:t>
      </w:r>
      <w:r>
        <w:t xml:space="preserve">, 2011)</w:t>
      </w:r>
      <w:r>
        <w:t xml:space="preserve">. Several studies have used fluorescent</w:t>
      </w:r>
      <w:r>
        <w:t xml:space="preserve"> </w:t>
      </w:r>
      <w:r>
        <w:rPr>
          <w:i/>
        </w:rPr>
        <w:t xml:space="preserve">in situ</w:t>
      </w:r>
      <w:r>
        <w:t xml:space="preserve"> </w:t>
      </w:r>
      <w:r>
        <w:t xml:space="preserve">hybridization (FISH) and catalyzed reporter deposition (CARD) or microautoradiography (MAR) to identify substrate uptake capabilities of the acI. These studies reveal that the acI are capable of consuming amino acids</w:t>
      </w:r>
      <w:r>
        <w:t xml:space="preserve"> </w:t>
      </w:r>
      <w:r>
        <w:t xml:space="preserve">(Salcher</w:t>
      </w:r>
      <w:r>
        <w:t xml:space="preserve"> </w:t>
      </w:r>
      <w:r>
        <w:rPr>
          <w:i/>
        </w:rPr>
        <w:t xml:space="preserve">et al.</w:t>
      </w:r>
      <w:r>
        <w:t xml:space="preserve">, 2010, 2013)</w:t>
      </w:r>
      <w:r>
        <w:t xml:space="preserve">, including the individual amino acids arginine, glutamate, glutamine, and leucine</w:t>
      </w:r>
      <w:r>
        <w:t xml:space="preserve"> </w:t>
      </w:r>
      <w:r>
        <w:t xml:space="preserve">(Buck</w:t>
      </w:r>
      <w:r>
        <w:t xml:space="preserve"> </w:t>
      </w:r>
      <w:r>
        <w:rPr>
          <w:i/>
        </w:rPr>
        <w:t xml:space="preserve">et al.</w:t>
      </w:r>
      <w:r>
        <w:t xml:space="preserve">, 2009; Pérez</w:t>
      </w:r>
      <w:r>
        <w:t xml:space="preserve"> </w:t>
      </w:r>
      <w:r>
        <w:rPr>
          <w:i/>
        </w:rPr>
        <w:t xml:space="preserve">et al.</w:t>
      </w:r>
      <w:r>
        <w:t xml:space="preserve">, 2010; Salcher</w:t>
      </w:r>
      <w:r>
        <w:t xml:space="preserve"> </w:t>
      </w:r>
      <w:r>
        <w:rPr>
          <w:i/>
        </w:rPr>
        <w:t xml:space="preserve">et al.</w:t>
      </w:r>
      <w:r>
        <w:t xml:space="preserve">, 2010, 2013; Eckert</w:t>
      </w:r>
      <w:r>
        <w:t xml:space="preserve"> </w:t>
      </w:r>
      <w:r>
        <w:rPr>
          <w:i/>
        </w:rPr>
        <w:t xml:space="preserve">et al.</w:t>
      </w:r>
      <w:r>
        <w:t xml:space="preserve">, 2012)</w:t>
      </w:r>
      <w:r>
        <w:t xml:space="preserve">); the saccharides glucose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and N-acetylglucosamine (NAG)</w:t>
      </w:r>
      <w:r>
        <w:t xml:space="preserve"> </w:t>
      </w:r>
      <w:r>
        <w:t xml:space="preserve">(Beier and Bertilsson, 2011; Eckert</w:t>
      </w:r>
      <w:r>
        <w:t xml:space="preserve"> </w:t>
      </w:r>
      <w:r>
        <w:rPr>
          <w:i/>
        </w:rPr>
        <w:t xml:space="preserve">et al.</w:t>
      </w:r>
      <w:r>
        <w:t xml:space="preserve">, 2012, 2013)</w:t>
      </w:r>
      <w:r>
        <w:t xml:space="preserve">; the deoxynucleoside thymidine</w:t>
      </w:r>
      <w:r>
        <w:t xml:space="preserve"> </w:t>
      </w:r>
      <w:r>
        <w:t xml:space="preserve">(Pérez</w:t>
      </w:r>
      <w:r>
        <w:t xml:space="preserve"> </w:t>
      </w:r>
      <w:r>
        <w:rPr>
          <w:i/>
        </w:rPr>
        <w:t xml:space="preserve">et al.</w:t>
      </w:r>
      <w:r>
        <w:t xml:space="preserve">, 2010; Salcher</w:t>
      </w:r>
      <w:r>
        <w:t xml:space="preserve"> </w:t>
      </w:r>
      <w:r>
        <w:rPr>
          <w:i/>
        </w:rPr>
        <w:t xml:space="preserve">et al.</w:t>
      </w:r>
      <w:r>
        <w:t xml:space="preserve">, 2013)</w:t>
      </w:r>
      <w:r>
        <w:t xml:space="preserve">, and acetate</w:t>
      </w:r>
      <w:r>
        <w:t xml:space="preserve"> </w:t>
      </w:r>
      <w:r>
        <w:t xml:space="preserve">(Buck</w:t>
      </w:r>
      <w:r>
        <w:t xml:space="preserve"> </w:t>
      </w:r>
      <w:r>
        <w:rPr>
          <w:i/>
        </w:rPr>
        <w:t xml:space="preserve">et al.</w:t>
      </w:r>
      <w:r>
        <w:t xml:space="preserve">, 2009)</w:t>
      </w:r>
      <w:r>
        <w:t xml:space="preserve">. However, due to limited phylogenetic resolution of some FISH probes, the studies cannot always link the uptake of these substrates to clades or tribes within the lineage.</w:t>
      </w:r>
    </w:p>
    <w:p>
      <w:pPr>
        <w:pStyle w:val="BodyText"/>
      </w:pPr>
      <w:r>
        <w:t xml:space="preserve">Instead, metabolic reconstructions of single-cell genomes (SAGs) and metagenome-assembled genomes (MAGs) have been used to propose substrate uptake capabilities of clades aI-A and acI-B. To date, no genomes from clade acI-C have been included in these studies. These studies indicate both clades acI-A and acI-B are capable of consuming a wide array of N-containing compounds, including ammonium, branched-chain amino acids, polyamines, di-peptides, and cyanophycin</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with clade acI-A also capable of consuming oligopeptides</w:t>
      </w:r>
      <w:r>
        <w:t xml:space="preserve"> </w:t>
      </w:r>
      <w:r>
        <w:t xml:space="preserve">(Ghylin</w:t>
      </w:r>
      <w:r>
        <w:t xml:space="preserve"> </w:t>
      </w:r>
      <w:r>
        <w:rPr>
          <w:i/>
        </w:rPr>
        <w:t xml:space="preserve">et al.</w:t>
      </w:r>
      <w:r>
        <w:t xml:space="preserve">, 2014)</w:t>
      </w:r>
      <w:r>
        <w:t xml:space="preserve">. The lineage is also capable of consuming numerous saccharides, including the five-carbon sugars xylose, ribose, arabinose</w:t>
      </w:r>
      <w:r>
        <w:t xml:space="preserve"> </w:t>
      </w:r>
      <w:r>
        <w:t xml:space="preserve">(Garcia</w:t>
      </w:r>
      <w:r>
        <w:t xml:space="preserve"> </w:t>
      </w:r>
      <w:r>
        <w:rPr>
          <w:i/>
        </w:rPr>
        <w:t xml:space="preserve">et al.</w:t>
      </w:r>
      <w:r>
        <w:t xml:space="preserve">, 2013, 2015; Ghylin</w:t>
      </w:r>
      <w:r>
        <w:t xml:space="preserve"> </w:t>
      </w:r>
      <w:r>
        <w:rPr>
          <w:i/>
        </w:rPr>
        <w:t xml:space="preserve">et al.</w:t>
      </w:r>
      <w:r>
        <w:t xml:space="preserve">, 2014)</w:t>
      </w:r>
      <w:r>
        <w:t xml:space="preserve"> </w:t>
      </w:r>
      <w:r>
        <w:t xml:space="preserve">as well as poly- and oligo-saccharides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Notably, transporters for glucose and NAG have not yet been identified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despite FISH studies showing uptake of those substrates</w:t>
      </w:r>
      <w:r>
        <w:t xml:space="preserve"> </w:t>
      </w:r>
      <w:r>
        <w:t xml:space="preserve">(Buck</w:t>
      </w:r>
      <w:r>
        <w:t xml:space="preserve"> </w:t>
      </w:r>
      <w:r>
        <w:rPr>
          <w:i/>
        </w:rPr>
        <w:t xml:space="preserve">et al.</w:t>
      </w:r>
      <w:r>
        <w:t xml:space="preserve">, 2009; Beier and Bertilsson, 2011; Eckert</w:t>
      </w:r>
      <w:r>
        <w:t xml:space="preserve"> </w:t>
      </w:r>
      <w:r>
        <w:rPr>
          <w:i/>
        </w:rPr>
        <w:t xml:space="preserve">et al.</w:t>
      </w:r>
      <w:r>
        <w:t xml:space="preserve">, 2012, 2013; Salcher</w:t>
      </w:r>
      <w:r>
        <w:t xml:space="preserve"> </w:t>
      </w:r>
      <w:r>
        <w:rPr>
          <w:i/>
        </w:rPr>
        <w:t xml:space="preserve">et al.</w:t>
      </w:r>
      <w:r>
        <w:t xml:space="preserve">, 2013)</w:t>
      </w:r>
      <w:r>
        <w:t xml:space="preserve">. Clade acI-B is also predicted to consume sucrose and maltose</w:t>
      </w:r>
      <w:r>
        <w:t xml:space="preserve"> </w:t>
      </w:r>
      <w:r>
        <w:t xml:space="preserve">(Garcia</w:t>
      </w:r>
      <w:r>
        <w:t xml:space="preserve"> </w:t>
      </w:r>
      <w:r>
        <w:rPr>
          <w:i/>
        </w:rPr>
        <w:t xml:space="preserve">et al.</w:t>
      </w:r>
      <w:r>
        <w:t xml:space="preserve">, 2015)</w:t>
      </w:r>
      <w:r>
        <w:t xml:space="preserve">; it also contains a chitinase for the breakdown of NAG</w:t>
      </w:r>
      <w:r>
        <w:t xml:space="preserve"> </w:t>
      </w:r>
      <w:r>
        <w:t xml:space="preserve">(Garcia</w:t>
      </w:r>
      <w:r>
        <w:t xml:space="preserve"> </w:t>
      </w:r>
      <w:r>
        <w:rPr>
          <w:i/>
        </w:rPr>
        <w:t xml:space="preserve">et al.</w:t>
      </w:r>
      <w:r>
        <w:t xml:space="preserve">, 2013, 2015)</w:t>
      </w:r>
      <w:r>
        <w:t xml:space="preserve">. Finally, the acI are predicted to contain the actinobacterial opsin protein actinorhodopsin</w:t>
      </w:r>
      <w:r>
        <w:t xml:space="preserve"> </w:t>
      </w:r>
      <w:r>
        <w:t xml:space="preserve">(Garcia</w:t>
      </w:r>
      <w:r>
        <w:t xml:space="preserve"> </w:t>
      </w:r>
      <w:r>
        <w:rPr>
          <w:i/>
        </w:rPr>
        <w:t xml:space="preserve">et al.</w:t>
      </w:r>
      <w:r>
        <w:t xml:space="preserve">, 2013, 2014, 2015; Ghylin</w:t>
      </w:r>
      <w:r>
        <w:t xml:space="preserve"> </w:t>
      </w:r>
      <w:r>
        <w:rPr>
          <w:i/>
        </w:rPr>
        <w:t xml:space="preserve">et al.</w:t>
      </w:r>
      <w:r>
        <w:t xml:space="preserve">, 2014)</w:t>
      </w:r>
      <w:r>
        <w:t xml:space="preserve">, a light-harvesting transmembrane protein</w:t>
      </w:r>
      <w:r>
        <w:t xml:space="preserve"> </w:t>
      </w:r>
      <w:r>
        <w:t xml:space="preserve">(Sharma</w:t>
      </w:r>
      <w:r>
        <w:t xml:space="preserve"> </w:t>
      </w:r>
      <w:r>
        <w:rPr>
          <w:i/>
        </w:rPr>
        <w:t xml:space="preserve">et al.</w:t>
      </w:r>
      <w:r>
        <w:t xml:space="preserve">, 2008, 2009)</w:t>
      </w:r>
      <w:r>
        <w:t xml:space="preserve">, as well as the complete pathway for the biosynthesis of its cofactor retinal</w:t>
      </w:r>
      <w:r>
        <w:t xml:space="preserve"> </w:t>
      </w:r>
      <w:r>
        <w:t xml:space="preserve">(Ghylin</w:t>
      </w:r>
      <w:r>
        <w:t xml:space="preserve"> </w:t>
      </w:r>
      <w:r>
        <w:rPr>
          <w:i/>
        </w:rPr>
        <w:t xml:space="preserve">et al.</w:t>
      </w:r>
      <w:r>
        <w:t xml:space="preserve">, 2014)</w:t>
      </w:r>
      <w:r>
        <w:t xml:space="preserve">. Finally, a recent study of a metagenome-assembled genome from clade acI-B predicted the clade is unable to synthesize a number of essential compounds, including for the amino acids isoleucine, leucine, valine, tyrosine, tryptophan, phenylalanine, asparagine; and the cofactors biotin (Vitamin B7), cobalamin (Vitamin B12), folate (Vitamin B9), niacin (Vitamin B3), pantothenate (Vitamin B5), and riboflavin (Vitamin B2)</w:t>
      </w:r>
      <w:r>
        <w:t xml:space="preserve"> </w:t>
      </w:r>
      <w:r>
        <w:t xml:space="preserve">(Garcia</w:t>
      </w:r>
      <w:r>
        <w:t xml:space="preserve"> </w:t>
      </w:r>
      <w:r>
        <w:rPr>
          <w:i/>
        </w:rPr>
        <w:t xml:space="preserve">et al.</w:t>
      </w:r>
      <w:r>
        <w:t xml:space="preserve">, 2015)</w:t>
      </w:r>
      <w:r>
        <w:t xml:space="preserve">. In the aggregate, these results indicate the acI are photoheterotrophs, making a living on a diverse array of N-rich compounds, sugars, and oligo- and poly-saccharides. The acI do not appear to be metabolically self-sufficient, relying on other organisms for the production of essential nutrients.</w:t>
      </w:r>
    </w:p>
    <w:p>
      <w:pPr>
        <w:pStyle w:val="BodyText"/>
      </w:pPr>
      <w:r>
        <w:t xml:space="preserve">These metabolic reconstructions all attempt to infer an organism’s ecology from its genome content, a concept referred to as</w:t>
      </w:r>
      <w:r>
        <w:t xml:space="preserve"> </w:t>
      </w:r>
      <w:r>
        <w:t xml:space="preserve">“</w:t>
      </w:r>
      <w:r>
        <w:t xml:space="preserve">reverse ecology</w:t>
      </w:r>
      <w:r>
        <w:t xml:space="preserve">”</w:t>
      </w:r>
      <w:r>
        <w:t xml:space="preserve"> </w:t>
      </w:r>
      <w:r>
        <w:t xml:space="preserve">(Levy and Borenstein, 2012)</w:t>
      </w:r>
      <w:r>
        <w:t xml:space="preserve">. While metabolic reconstructions represent a common entry point to reverse ecological analyses, other approaches take cues from systems biology, focusing instead on an organism’s metabolic network. Here, the chemical reactions of metabolism are represented as connections between substrates and products, and analyzed from the perspective of the entire network</w:t>
      </w:r>
      <w:r>
        <w:t xml:space="preserve"> </w:t>
      </w:r>
      <w:r>
        <w:t xml:space="preserve">(Levy and Borenstein, 2012)</w:t>
      </w:r>
      <w:r>
        <w:t xml:space="preserve">. One such approach is the</w:t>
      </w:r>
      <w:r>
        <w:t xml:space="preserve"> </w:t>
      </w:r>
      <w:r>
        <w:t xml:space="preserve">“</w:t>
      </w:r>
      <w:r>
        <w:t xml:space="preserve">seed set framework</w:t>
      </w:r>
      <w:r>
        <w:t xml:space="preserve">”</w:t>
      </w:r>
      <w:r>
        <w:t xml:space="preserve">, which computes an organism’s</w:t>
      </w:r>
      <w:r>
        <w:t xml:space="preserve"> </w:t>
      </w:r>
      <w:r>
        <w:t xml:space="preserve">“</w:t>
      </w:r>
      <w:r>
        <w:t xml:space="preserve">seed set,</w:t>
      </w:r>
      <w:r>
        <w:t xml:space="preserve">”</w:t>
      </w:r>
      <w:r>
        <w:t xml:space="preserve"> </w:t>
      </w:r>
      <w:r>
        <w:t xml:space="preserve">the set of compounds that the organism cannot synthesize on its own and must exogenously acquire from its environment</w:t>
      </w:r>
      <w:r>
        <w:t xml:space="preserve"> </w:t>
      </w:r>
      <w:r>
        <w:t xml:space="preserve">(Borenstein</w:t>
      </w:r>
      <w:r>
        <w:t xml:space="preserve"> </w:t>
      </w:r>
      <w:r>
        <w:rPr>
          <w:i/>
        </w:rPr>
        <w:t xml:space="preserve">et al.</w:t>
      </w:r>
      <w:r>
        <w:t xml:space="preserve">, 2008)</w:t>
      </w:r>
      <w:r>
        <w:t xml:space="preserve">. As such, these compounds may represent both auxotrophies, essential metabolites for which biosynthetic routes are missing, and nutrients, for which routes for degradation (not synthesis) are present in the genome.</w:t>
      </w:r>
    </w:p>
    <w:p>
      <w:pPr>
        <w:pStyle w:val="BodyText"/>
      </w:pPr>
      <w:r>
        <w:t xml:space="preserve">In this work, we expand existing genome-based analyses of the acI lineage by applying the seed set framework to a reference genome collection of 36 freshwater acI genomes, containing all previously-described acI genomes, as well as six additional SAGs and 15 MAGs, including for the first time genomes from the acI-C clade. We have developed a Python package to predict seed compounds for each clade, using metabolic network reconstructions generated from KBase (http://kbase.us). We also present the first metatranscriptomic analysis of gene expression across the three acI clades. Our use of the seed set framework enables the analysis of dozens of genomes without the need for a lengthy manual reconstruction step, and facilitates a focused analysis by identifying those compounds which an organism must obtain from its environment. The seed compounds predicted by our analysis are in agreement with experimental observations, confirming the ability of our method to predict an organism’s metabolic requirements. Finally, our metatranscriptomic analysis shows that the acI express a diverse array of transporters, which we hypothesize may contribute to their observed dominance in a wide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an extensive collection of freshwater bacterial genomes, containing MAGs obtained from two metagenomic time-series from two Wisconsin lakes, as well as SAGs from lakes in the United States and Europe.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Four samples were collected from the top of the water column (depth &lt;1m) from Lake Mendota (Madison, WI, USA) over a twenty-four hour period spanning August 20 and 21, 2015. For each sample, between 200 and 400 mL lake water was filtered onto a 0.2 μm polyethersulfone filter (Supor, Pall Corp), flash frozen in liquid nitrogen in the field, and stored at -80°C until extraction.</w:t>
      </w:r>
    </w:p>
    <w:p>
      <w:pPr>
        <w:pStyle w:val="BodyText"/>
      </w:pPr>
      <w:r>
        <w:t xml:space="preserve">Samples were subject to TRIzol-based RNA extraction (Thermo Fisher Scientific, Waltham, MA) with bead beating,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6" w:name="genome-completeness-and-phylogenetic-relationships"/>
      <w:bookmarkEnd w:id="26"/>
      <w:r>
        <w:t xml:space="preserve">Genome Completeness and Phylogenetic Relationships</w:t>
      </w:r>
    </w:p>
    <w:p>
      <w:pPr>
        <w:pStyle w:val="FirstParagraph"/>
      </w:pPr>
      <w:r>
        <w:t xml:space="preserve">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7" w:name="identification-of-aci-sags-and-mags"/>
      <w:bookmarkEnd w:id="27"/>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The acI lineage has previously been shown to be monophyletic with three distinct monophyletic clades, and the subtree of acI SAGs and Actinobacterial MAGs following this topology was deemed to contain acI genomes.</w:t>
      </w:r>
    </w:p>
    <w:p>
      <w:pPr>
        <w:pStyle w:val="Heading2"/>
      </w:pPr>
      <w:bookmarkStart w:id="28" w:name="metabolic-network-reconstruction-and-reverse-ecology"/>
      <w:bookmarkEnd w:id="28"/>
      <w:r>
        <w:t xml:space="preserve">Metabolic Network Reconstruction and Reverse Ecology</w:t>
      </w:r>
    </w:p>
    <w:p>
      <w:pPr>
        <w:pStyle w:val="Heading3"/>
      </w:pPr>
      <w:bookmarkStart w:id="29" w:name="genome-annotation-and-reconstruction-processing"/>
      <w:bookmarkEnd w:id="29"/>
      <w:r>
        <w:t xml:space="preserve">Genome Annotation and Reconstruction Processing</w:t>
      </w:r>
    </w:p>
    <w:p>
      <w:pPr>
        <w:pStyle w:val="FirstParagraph"/>
      </w:pPr>
      <w:r>
        <w:t xml:space="preserve">In the seed set framework, an organism’s metabolism is represented via a metabolic network graph, in which nodes denote compounds and edges denote reactions linking substrates and products</w:t>
      </w:r>
      <w:r>
        <w:t xml:space="preserve"> </w:t>
      </w:r>
      <w:r>
        <w:t xml:space="preserve">(Jeong</w:t>
      </w:r>
      <w:r>
        <w:t xml:space="preserve"> </w:t>
      </w:r>
      <w:r>
        <w:rPr>
          <w:i/>
        </w:rPr>
        <w:t xml:space="preserve">et al.</w:t>
      </w:r>
      <w:r>
        <w:t xml:space="preserve">, 2000)</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and metabolic network reconstructions were performed using KBase (http://kbase.us/).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metabolic reconstruction. These reconstructions contain a structured summary of an organism’s metabolic capabilities (as defined by its enzymes and their biochemical transformations)</w:t>
      </w:r>
      <w:r>
        <w:t xml:space="preserve"> </w:t>
      </w:r>
      <w:r>
        <w:t xml:space="preserve">(Feist</w:t>
      </w:r>
      <w:r>
        <w:t xml:space="preserve"> </w:t>
      </w:r>
      <w:r>
        <w:rPr>
          <w:i/>
        </w:rPr>
        <w:t xml:space="preserve">et al.</w:t>
      </w:r>
      <w:r>
        <w:t xml:space="preserve">, 2009)</w:t>
      </w:r>
      <w:r>
        <w:t xml:space="preserve">, and can be downloaded from KBase in the XML-based SBML file format</w:t>
      </w:r>
      <w:r>
        <w:t xml:space="preserve"> </w:t>
      </w:r>
      <w:r>
        <w:t xml:space="preserve">(Hucka</w:t>
      </w:r>
      <w:r>
        <w:t xml:space="preserve"> </w:t>
      </w:r>
      <w:r>
        <w:rPr>
          <w:i/>
        </w:rPr>
        <w:t xml:space="preserve">et al.</w:t>
      </w:r>
      <w:r>
        <w:t xml:space="preserve">, 2003)</w:t>
      </w:r>
      <w:r>
        <w:t xml:space="preserve">.</w:t>
      </w:r>
    </w:p>
    <w:p>
      <w:pPr>
        <w:pStyle w:val="BodyText"/>
      </w:pPr>
      <w:r>
        <w:t xml:space="preserve">Metabolic reconstructions were then downloaded via KBase, pruned, and converted to metabolic network graphs, so as to be consistent with the original seed set framework</w:t>
      </w:r>
      <w:r>
        <w:t xml:space="preserve"> </w:t>
      </w:r>
      <w:r>
        <w:t xml:space="preserve">(Borenstein</w:t>
      </w:r>
      <w:r>
        <w:t xml:space="preserve"> </w:t>
      </w:r>
      <w:r>
        <w:rPr>
          <w:i/>
        </w:rPr>
        <w:t xml:space="preserve">et al.</w:t>
      </w:r>
      <w:r>
        <w:t xml:space="preserve">, 2008)</w:t>
      </w:r>
      <w:r>
        <w:t xml:space="preserve">. In particular, biomass, exchange, transport, spontaneous, and DNA/RNA biosynthesis reactions were removed from the reconstruction, as the original seed set framework used KEGG-derived metabolic network graphs lacking these features. Reconstructions were then mass- and charge-balanced. Next, currency metabolites (compounds used to carry electrons and functional groups) and highly-connected compounds (those which participate in many reactions, such as CO2 and O2) were removed to ensure paths in the resulting metabolic network graph would be biologically meaningful</w:t>
      </w:r>
      <w:r>
        <w:t xml:space="preserve"> </w:t>
      </w:r>
      <w:r>
        <w:t xml:space="preserve">(Ma and Zeng, 2003)</w:t>
      </w:r>
      <w:r>
        <w:t xml:space="preserve">. Finally, the network reconstruction was converted to a metabolic network graph, in order to identify the network’s seed compounds. An illustration of this process can be found in Figure S1 in the Supplemental Online Material.</w:t>
      </w:r>
    </w:p>
    <w:p>
      <w:pPr>
        <w:pStyle w:val="BodyText"/>
      </w:pPr>
      <w:r>
        <w:t xml:space="preserve">Because individual acI genomes are incomplete (see Results), composite metabolic network graphs were constructed for each clade, for more accurate seed identification.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w:t>
      </w:r>
    </w:p>
    <w:p>
      <w:pPr>
        <w:pStyle w:val="BodyText"/>
      </w:pPr>
      <w:r>
        <w:t xml:space="preserve">All steps were implemented using custom Python scripts, freely available as part of the reverseEcology Python package (</w:t>
      </w:r>
      <w:hyperlink r:id="rId30">
        <w:r>
          <w:rPr>
            <w:rStyle w:val="Hyperlink"/>
          </w:rPr>
          <w:t xml:space="preserve">https://pypi.python.org/pypi/reverseEcology/</w:t>
        </w:r>
      </w:hyperlink>
      <w:r>
        <w:t xml:space="preserve">).</w:t>
      </w:r>
    </w:p>
    <w:p>
      <w:pPr>
        <w:pStyle w:val="Heading3"/>
      </w:pPr>
      <w:bookmarkStart w:id="31" w:name="calculation-and-evaluation-of-seed-compounds"/>
      <w:bookmarkEnd w:id="31"/>
      <w:r>
        <w:t xml:space="preserve">Calculation and Evaluation of Seed Compounds</w:t>
      </w:r>
    </w:p>
    <w:p>
      <w:pPr>
        <w:pStyle w:val="FirstParagraph"/>
      </w:pPr>
      <w:r>
        <w:t xml:space="preserve">Seed compounds for each composite clade-level metabolic network graph were calculated using the seed set framework</w:t>
      </w:r>
      <w:r>
        <w:t xml:space="preserve"> </w:t>
      </w:r>
      <w:r>
        <w:t xml:space="preserve">(Borenstein</w:t>
      </w:r>
      <w:r>
        <w:t xml:space="preserve"> </w:t>
      </w:r>
      <w:r>
        <w:rPr>
          <w:i/>
        </w:rPr>
        <w:t xml:space="preserve">et al.</w:t>
      </w:r>
      <w:r>
        <w:t xml:space="preserve">, 2008)</w:t>
      </w:r>
      <w:r>
        <w:t xml:space="preserve">. Briefly, the metabolic network is decomposed into its strongly connected components (SCCs), sets of nodes where there exists a path in each direction between each pair of nodes in the set. Seed compounds can then be found by identifying source components (components with no incoming edges) on the condensation of the original graph (a representation in which each SCC is represented as a single component): each source component represents a seed set, and the nodes within that component represent seed compounds. An illustration of this process can be found in Figure S2 in the Supplemental Online Material. Finally, all predicted seed compounds were manually evaluated to identify those which may be biologically meaningful. Examples are given in the Supplemental Online Material.</w:t>
      </w:r>
    </w:p>
    <w:p>
      <w:pPr>
        <w:pStyle w:val="Heading2"/>
      </w:pPr>
      <w:bookmarkStart w:id="32" w:name="integrating-reverse-ecology-with-metatranscriptomics"/>
      <w:bookmarkEnd w:id="32"/>
      <w:r>
        <w:t xml:space="preserve">Integrating Reverse Ecology with Metatranscriptomics</w:t>
      </w:r>
    </w:p>
    <w:p>
      <w:pPr>
        <w:pStyle w:val="Heading3"/>
      </w:pPr>
      <w:bookmarkStart w:id="33" w:name="protein-clustering-metatranscriptomic-mapping-and-clade-level-gene-expression"/>
      <w:bookmarkEnd w:id="33"/>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groups (COGs) in the set of acI genomes. OrthoMCL was run using default options. Annotations were assigned to protein clusters by choosing the most common (consensus) annotation among all genes assigned to that cluster. Then, trimmed and merged metatranscriptomic reads were mapped to a single reference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The 95% identity cutoff was chosen as this represents a well-established criteria for identifying microbial species using average nucleotide identity (ANI)</w:t>
      </w:r>
      <w:r>
        <w:t xml:space="preserve"> </w:t>
      </w:r>
      <w:r>
        <w:t xml:space="preserve">(Konstantinidis and Tiedje, 2005)</w:t>
      </w:r>
      <w:r>
        <w:t xml:space="preserve">, while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which map to each gene in our acI genome collection. After mapping, the list of counts was filtered to remove those genes which did not recruit at least one read in all four samples. Using the COGs identified by OrthoMCL, the genes which correspond to each COG were then identified.</w:t>
      </w:r>
    </w:p>
    <w:p>
      <w:pPr>
        <w:pStyle w:val="BodyText"/>
      </w:pPr>
      <w:r>
        <w:t xml:space="preserve">For each clade, gene expression was computed on a Reads Per Kilobase Million (RPKM) basis</w:t>
      </w:r>
      <w:r>
        <w:t xml:space="preserve"> </w:t>
      </w:r>
      <w:r>
        <w:t xml:space="preserve">(Mortazavi</w:t>
      </w:r>
      <w:r>
        <w:t xml:space="preserve"> </w:t>
      </w:r>
      <w:r>
        <w:rPr>
          <w:i/>
        </w:rPr>
        <w:t xml:space="preserve">et al.</w:t>
      </w:r>
      <w:r>
        <w:t xml:space="preserve">, 2008)</w:t>
      </w:r>
      <w:r>
        <w:t xml:space="preserve">, while accounting for different sequencing depths across metatranscriptomes and gene lengths within a COG. Because low abundance genes were discarded after mapping, this measure of gene expression provides an underestimate of the true expression level. RPKM counts were then averaged across the four metatranscriptomes, and the percentile rank expression for each COG was calculated.</w:t>
      </w:r>
    </w:p>
    <w:p>
      <w:pPr>
        <w:pStyle w:val="Heading3"/>
      </w:pPr>
      <w:bookmarkStart w:id="34" w:name="identification-of-transporter-genes"/>
      <w:bookmarkEnd w:id="34"/>
      <w:r>
        <w:t xml:space="preserve">Identification of Transporter Genes</w:t>
      </w:r>
    </w:p>
    <w:p>
      <w:pPr>
        <w:pStyle w:val="FirstParagraph"/>
      </w:pPr>
      <w:r>
        <w:t xml:space="preserve">Many highly-expressed COGs were annotated as transporter proteins.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5" w:name="availability-of-data-and-materials"/>
      <w:bookmarkEnd w:id="35"/>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https://github.com/joshamilton/Hamilton_acI_2016.</w:t>
      </w:r>
    </w:p>
    <w:p>
      <w:pPr>
        <w:pStyle w:val="Heading1"/>
      </w:pPr>
      <w:bookmarkStart w:id="36" w:name="results"/>
      <w:bookmarkEnd w:id="36"/>
      <w:r>
        <w:t xml:space="preserve">Results</w:t>
      </w:r>
    </w:p>
    <w:p>
      <w:pPr>
        <w:pStyle w:val="Heading2"/>
      </w:pPr>
      <w:bookmarkStart w:id="37" w:name="genome-statistics-and-phylogenetic-affiliation"/>
      <w:bookmarkEnd w:id="37"/>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were generated from four temperate lakes in the United States and Europe, while the MAGs were generated from two temperate lakes in the United States (15 MAGs, nine of which have been previously-described</w:t>
      </w:r>
      <w:r>
        <w:t xml:space="preserve"> </w:t>
      </w:r>
      <w:r>
        <w:t xml:space="preserve">(Bendall</w:t>
      </w:r>
      <w:r>
        <w:t xml:space="preserve"> </w:t>
      </w:r>
      <w:r>
        <w:rPr>
          <w:i/>
        </w:rPr>
        <w:t xml:space="preserve">et al.</w:t>
      </w:r>
      <w:r>
        <w:t xml:space="preserve">, 2016)</w:t>
      </w:r>
      <w:r>
        <w:t xml:space="preserve">), Spanish and American reservoirs (three MAGs</w:t>
      </w:r>
      <w:r>
        <w:t xml:space="preserve"> </w:t>
      </w:r>
      <w:r>
        <w:t xml:space="preserve">(Ghai</w:t>
      </w:r>
      <w:r>
        <w:t xml:space="preserve"> </w:t>
      </w:r>
      <w:r>
        <w:rPr>
          <w:i/>
        </w:rPr>
        <w:t xml:space="preserve">et al.</w:t>
      </w:r>
      <w:r>
        <w:t xml:space="preserve">, 2014; Tsementzi</w:t>
      </w:r>
      <w:r>
        <w:t xml:space="preserve"> </w:t>
      </w:r>
      <w:r>
        <w:rPr>
          <w:i/>
        </w:rPr>
        <w:t xml:space="preserve">et al.</w:t>
      </w:r>
      <w:r>
        <w:t xml:space="preserve">, 2014)</w:t>
      </w:r>
      <w:r>
        <w:t xml:space="preserve">), and a mixed culture from a European temperate lake</w:t>
      </w:r>
      <w:r>
        <w:t xml:space="preserve"> </w:t>
      </w:r>
      <w:r>
        <w:t xml:space="preserve">(Garcia</w:t>
      </w:r>
      <w:r>
        <w:t xml:space="preserve"> </w:t>
      </w:r>
      <w:r>
        <w:rPr>
          <w:i/>
        </w:rPr>
        <w:t xml:space="preserve">et al.</w:t>
      </w:r>
      <w:r>
        <w:t xml:space="preserve">, 2015)</w:t>
      </w:r>
      <w:r>
        <w:t xml:space="preserve">. The full list of genomes is given in Table 1.</w:t>
      </w:r>
    </w:p>
    <w:p>
      <w:pPr>
        <w:pStyle w:val="BodyText"/>
      </w:pPr>
      <w:r>
        <w:t xml:space="preserve">A phylogenetic tree of these genomes is shown in Figure 1.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previously-published acI genomes</w:t>
      </w:r>
      <w:r>
        <w:t xml:space="preserve"> </w:t>
      </w:r>
      <w:r>
        <w:t xml:space="preserve">(Ghai</w:t>
      </w:r>
      <w:r>
        <w:t xml:space="preserve"> </w:t>
      </w:r>
      <w:r>
        <w:rPr>
          <w:i/>
        </w:rPr>
        <w:t xml:space="preserve">et al.</w:t>
      </w:r>
      <w:r>
        <w:t xml:space="preserve">, 2012; Garcia</w:t>
      </w:r>
      <w:r>
        <w:t xml:space="preserve"> </w:t>
      </w:r>
      <w:r>
        <w:rPr>
          <w:i/>
        </w:rPr>
        <w:t xml:space="preserve">et al.</w:t>
      </w:r>
      <w:r>
        <w:t xml:space="preserve">, 2013, 2015;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Estimated genome size and GC content of clade acI-C were not statistically different from clades acI-A and acI-B.</w:t>
      </w:r>
    </w:p>
    <w:p>
      <w:pPr>
        <w:pStyle w:val="Heading2"/>
      </w:pPr>
      <w:bookmarkStart w:id="38" w:name="estimated-completeness-of-tribe--and-clade-level-composite-genomes"/>
      <w:bookmarkEnd w:id="38"/>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w:t>
      </w:r>
      <w:r>
        <w:t xml:space="preserve"> </w:t>
      </w:r>
      <w:r>
        <w:rPr>
          <w:i/>
        </w:rPr>
        <w:t xml:space="preserve">et al.</w:t>
      </w:r>
      <w:r>
        <w:t xml:space="preserve">, 2008)</w:t>
      </w:r>
      <w:r>
        <w:t xml:space="preserve">, and the number of false positives is approximately equal to the incompleteness of the network</w:t>
      </w:r>
      <w:r>
        <w:t xml:space="preserve"> </w:t>
      </w:r>
      <w:r>
        <w:t xml:space="preserve">(Borenstein</w:t>
      </w:r>
      <w:r>
        <w:t xml:space="preserve"> </w:t>
      </w:r>
      <w:r>
        <w:rPr>
          <w:i/>
        </w:rPr>
        <w:t xml:space="preserve">et al.</w:t>
      </w:r>
      <w:r>
        <w:t xml:space="preserve">, 2008)</w:t>
      </w:r>
      <w:r>
        <w:t xml:space="preserve">. As individual acI genomes are incomplete, we constructed composite genomes at higher taxonomic levels (e.g., tribe and clade) to increase genome completeness for more accurate seed identification at that taxonomic level.</w:t>
      </w:r>
    </w:p>
    <w:p>
      <w:pPr>
        <w:pStyle w:val="BodyText"/>
      </w:pPr>
      <w:r>
        <w:t xml:space="preserve">Using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39" w:name="metatranscriptomics-and-protein-clustering"/>
      <w:bookmarkEnd w:id="39"/>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collection of acI SAGs and MAGs. We used the metatranscriptomic reads that mapped to each clade as a proxies for relative activity (Table S2).</w:t>
      </w:r>
    </w:p>
    <w:p>
      <w:pPr>
        <w:pStyle w:val="BodyText"/>
      </w:pPr>
      <w:r>
        <w:t xml:space="preserve">OrthoMCL identified a total of 5013 protein clusters across the three clades (Table S3). Of these, 1078 (22%) represent core genes, defined as being present in at least one genome belonging to each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w:t>
      </w:r>
    </w:p>
    <w:p>
      <w:pPr>
        <w:pStyle w:val="Heading2"/>
      </w:pPr>
      <w:bookmarkStart w:id="40" w:name="computation-and-evaluation-of-potential-seed-compounds"/>
      <w:bookmarkEnd w:id="40"/>
      <w:r>
        <w:t xml:space="preserve">Computation and Evaluation of Potential Seed Compounds</w:t>
      </w:r>
    </w:p>
    <w:p>
      <w:pPr>
        <w:pStyle w:val="FirstParagraph"/>
      </w:pPr>
      <w:r>
        <w:t xml:space="preserve">In this work, we present a computational implementation of the seed set framework for the calculation of an organism’s seed compounds</w:t>
      </w:r>
      <w:r>
        <w:t xml:space="preserve"> </w:t>
      </w:r>
      <w:r>
        <w:t xml:space="preserve">(Borenstein</w:t>
      </w:r>
      <w:r>
        <w:t xml:space="preserve"> </w:t>
      </w:r>
      <w:r>
        <w:rPr>
          <w:i/>
        </w:rPr>
        <w:t xml:space="preserve">et al.</w:t>
      </w:r>
      <w:r>
        <w:t xml:space="preserve">, 2008)</w:t>
      </w:r>
      <w:r>
        <w:t xml:space="preserve">, and apply this framework to three clades of the freshwater bacterial lineage acI. In our implementation, the genomes from a group of organisms are converted to metabolic network reconstructions using KBase. The reconstructions are then converted to metabolic network graphs and combined to give composite metabolic network graphs for each clade. Seed compounds are then computed for each clade, using its composite metabolic network graph (Figure 3, and Figures S1 and S2).</w:t>
      </w:r>
    </w:p>
    <w:p>
      <w:pPr>
        <w:pStyle w:val="BodyText"/>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The Supplemental Online Material contains a series of brief vignettes explaining why select compounds were retained or discarded based on their biological (im)plausibility. For biologically plausible compounds, the Supplemental Online Material also provides examples of manual curation efforts.</w:t>
      </w:r>
    </w:p>
    <w:p>
      <w:pPr>
        <w:pStyle w:val="Heading2"/>
      </w:pPr>
      <w:bookmarkStart w:id="41" w:name="auxotrophies-and-degradation-capabilities-of-the-aci-lineage"/>
      <w:bookmarkEnd w:id="41"/>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(pantothenic acid), a precursor to coenzyme A formed from beta-alanine and pantoate. In bacteria, beta-alanine is typically synthesized via the decarboxylation of aspartate, and we were unable to identify a candidate gene for this enzyme in any acI genome (Table S9). Pyridoxine phosphate and pyridoxamine phosphate (forms of the enzyme cofactor Vitamin B6) were also predicted to be seed compounds, and numerous enzymes in the biosynthesis of these compounds were not found in the genomes (Table S9).</w:t>
      </w:r>
    </w:p>
    <w:p>
      <w:pPr>
        <w:pStyle w:val="BodyText"/>
      </w:pPr>
      <w:r>
        <w:t xml:space="preserve">Clades within the acI lineage also exhibited distinct auxotrophies. Clade acI-A was predicted to be auxotrophic for the cofactor tetrahydrofolate (THF), and numerous enzymes for its biosynthesis were missing (Table S9). In turn, acI-C was predicted to be auxotrophic for UMP and the amino acids lysine and homoserine, and in all cases multiple enzymes for the biosynthesis of these compounds were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trans-4-hydroxy proline, and acI-B was additionally predicted to degrade glycine betaine. These compounds indicate that the acI may benefit from the breakdown of plant and animal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(Tables S11 and S12).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 As discussed below, we identified a number of transport proteins capable of transporting these released residues. The genes for these enzymes were moderately expressed, being near the 50th percentile for gene expression in all three clades, with log2 RPKM values between 9 and 10.</w:t>
      </w:r>
    </w:p>
    <w:p>
      <w:pPr>
        <w:pStyle w:val="BodyText"/>
      </w:pPr>
      <w:r>
        <w:t xml:space="preserve">All three clades were predicted to encode an alpha-glucosidase, which was expressed most strongly in clade acI-C with an log2 RPKM of 9. Clades acI-A and C also encode a beta-glucosidase, though it was not expressed.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multiple maltodextrin glucosidases (which frees maltose from maltotriose), both of which are only expressed in clade acI-C.</w:t>
      </w:r>
    </w:p>
    <w:p>
      <w:pPr>
        <w:pStyle w:val="BodyText"/>
      </w:pPr>
      <w:r>
        <w:t xml:space="preserve">These results suggest the acI lineage is capable of degrading a diverse array of peptides and polysaccharides. We hypothesize that the acI obtain these peptides from the products of cell lysis, and participate in the turnover of high molecular weight dissolved organic compounds, such as starch, glycogen, and cellulose.</w:t>
      </w:r>
    </w:p>
    <w:p>
      <w:pPr>
        <w:pStyle w:val="Heading2"/>
      </w:pPr>
      <w:bookmarkStart w:id="42" w:name="compounds-transported-by-the-aci-lineage"/>
      <w:bookmarkEnd w:id="42"/>
      <w:r>
        <w:t xml:space="preserve">Compounds Transported by the acI Lineage</w:t>
      </w:r>
    </w:p>
    <w:p>
      <w:pPr>
        <w:pStyle w:val="FirstParagraph"/>
      </w:pPr>
      <w:r>
        <w:t xml:space="preserve">All acI clades encode for and express a diverse array of transporters (Figure 5 and Tables S13 and S14).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Of these, the ammonium, branched-chain amino acid, and oligopeptide transporters are among the most highly expressed in these genomes, often above the 75th percentile of all expressed genes. In contrast, while all clades express some genes from the polyamine transporters, only clade acI-B expressed the spermidime/putrescine binding protein. Additionally, clade acI-A contains a third distinct branched-chain amino acid transporter, composed of COGs not found in clades acI-B and C. This transporter is not as highly expressed as the shared transporters. Finally, clades acI-A and B also contain a transporter for glycine betaine, which is only expressed in clade acI-A.</w:t>
      </w:r>
    </w:p>
    <w:p>
      <w:pPr>
        <w:pStyle w:val="BodyText"/>
      </w:pPr>
      <w:r>
        <w:t xml:space="preserve">All clades also strongly express transporters consistent with the presence of glycoside hydrolases, including transporters for the sugars maltose (a dimer of glucose) and xylose (an aldopentose). Clades acI-A and B also contain four distinct transporters for ribose (another aldopentose), although the substrate-binding subunit is not expressed.</w:t>
      </w:r>
    </w:p>
    <w:p>
      <w:pPr>
        <w:pStyle w:val="BodyText"/>
      </w:pPr>
      <w:r>
        <w:t xml:space="preserve">The acI lineage also encodes for and expresses a number of transporters that do not have corresponding seed compounds, including a uracil permease, and a xanthine/uracil/thiamine/ascorbate family permease, both of which are highly expressed. Clades acI-A and B also contain a a cytosine/purine/uracil/thiamine/allantoin family permease, though it is only expressed in clade acI-B. All three clades both contain and strongly express the high-affinity phosphate specific transport system (Pst). In addition, clade acI-A contains but does not express a transporter for Vitamin B12 (cobalamin), and both clades acI-A and B contain but do not express transporters for Vitamins B1 (thiamin) and B7 (biotin).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w:t>
      </w:r>
      <w:r>
        <w:t xml:space="preserve"> </w:t>
      </w:r>
      <w:r>
        <w:t xml:space="preserve">(Sharma</w:t>
      </w:r>
      <w:r>
        <w:t xml:space="preserve"> </w:t>
      </w:r>
      <w:r>
        <w:rPr>
          <w:i/>
        </w:rPr>
        <w:t xml:space="preserve">et al.</w:t>
      </w:r>
      <w:r>
        <w:t xml:space="preserve">, 2008)</w:t>
      </w:r>
      <w:r>
        <w:t xml:space="preserve">. In all clades, actinorhodopsin is among the top seven most highly-expressed genes in that clade (Table S4). Given that many of the transport proteins are of the ABC type, we speculate that actinorhodopsin may facilitate maintenance of the proton gradient necessary for ATP synthesis. Coupled with high expression levels of the diverse transporters expressed by acI, this result strongly suggests that acI are photoheterotrophs.</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S13). Five of these contain the same four COGs, differing only in the fifth, the amino acid binding subunit. Of these five distinct amino acid binding proteins, only one is found in all three clades, with the others being found in just one or two clades. Similarly, we identified a total of ten distinct oligopeptide transporters (Table S13), each with a unique oligopeptide-binding protein. Six are found in all three clades, while the remaining four are present in just one or two clades. The diversity of these transporters both within and between clades suggests the acI are adapted to a variety of amino acids and oligopeptides, with further specialization within each clade.</w:t>
      </w:r>
    </w:p>
    <w:p>
      <w:pPr>
        <w:pStyle w:val="Heading1"/>
      </w:pPr>
      <w:bookmarkStart w:id="43" w:name="discussion"/>
      <w:bookmarkEnd w:id="43"/>
      <w:r>
        <w:t xml:space="preserve">Discussion</w:t>
      </w:r>
    </w:p>
    <w:p>
      <w:pPr>
        <w:pStyle w:val="FirstParagraph"/>
      </w:pPr>
      <w:r>
        <w:t xml:space="preserve">Our predictions of substrate utilization capabilities of the acI lineage are largely congruent with previous studies. We predict that the consumption of N-rich compounds is a universal feature of the acI lineage, with all three clades predicted to consume ammonium, branched-chain amino acids (leucine, isoleucine, and valine), the polyamines spermidine and putrescine, and oligopeptides. Further specialization may occur within each clade, as evidenced by each clade expressing unique substate binding proteins for some of their amino acid and peptide transporters. However, despite experimental observations of arginine, glutamate, and glutamine uptake, we failed to identify a transporter for these compounds.</w:t>
      </w:r>
    </w:p>
    <w:p>
      <w:pPr>
        <w:pStyle w:val="BodyText"/>
      </w:pPr>
      <w:r>
        <w:t xml:space="preserve">Furthermore, we confirm the ability of all three clades to consume the five-carbon sugar xylose, as well as the six-carbon sugar maltose (previously thought to be restricted to clade acI-B). The acI-C genomes examined in this study did not contain transporters for ribose, suggesting that the utilization of this five-carbon sugar may be restricted to clades acI-A and acI-B. However, the possibility that acI-C consumes ribose cannot yet be ruled out, because our acI-C composite metabolic network graph remains incomplete. However, we failed to identify transporters for the saccharides glucose, and N-acetylglucosamine, both of which have been experimentally shown to be consumed by acI bacteria. Furthermore, in clades acI-A and acI-C, we identified additional hydrolases capable of acting on beta-glucosides, as well as alpha- and beta-galactosides, enzymes which had previously been detected only in clade acI-A.</w:t>
      </w:r>
    </w:p>
    <w:p>
      <w:pPr>
        <w:pStyle w:val="BodyText"/>
      </w:pPr>
      <w:r>
        <w:t xml:space="preserve">We also identified transporters for the nucleobase uracil, as well as two permeases with broad specificity. These permeases are capable of acting on both purine and pyrimidine nucleobases (cysotine, uracil, and xanthine), suggesting the acI may obtain these compounds from the environment.</w:t>
      </w:r>
    </w:p>
    <w:p>
      <w:pPr>
        <w:pStyle w:val="BodyText"/>
      </w:pPr>
      <w:r>
        <w:t xml:space="preserve">Our analysis also suggests that auxotrophies for some vitamins may be universal features of the lineage, as we predict all clades to be auxotrophic for Vitamins B5 and B6, in agreement with previous predictions for clade acI-B</w:t>
      </w:r>
      <w:r>
        <w:t xml:space="preserve"> </w:t>
      </w:r>
      <w:r>
        <w:t xml:space="preserve">(Garcia</w:t>
      </w:r>
      <w:r>
        <w:t xml:space="preserve"> </w:t>
      </w:r>
      <w:r>
        <w:rPr>
          <w:i/>
        </w:rPr>
        <w:t xml:space="preserve">et al.</w:t>
      </w:r>
      <w:r>
        <w:t xml:space="preserve">, 2015)</w:t>
      </w:r>
      <w:r>
        <w:t xml:space="preserve">. In addition, we predict transporters for Vitamins B1, B7 and B12, but do not predict auxotrophies for these vitamins. Finally, our analysis does not identify Vitamins B2, B3, B9, or B12 as auxotrophies for clade acI-B, a result which had been previously suggested</w:t>
      </w:r>
      <w:r>
        <w:t xml:space="preserve"> </w:t>
      </w:r>
      <w:r>
        <w:t xml:space="preserve">(Garcia</w:t>
      </w:r>
      <w:r>
        <w:t xml:space="preserve"> </w:t>
      </w:r>
      <w:r>
        <w:rPr>
          <w:i/>
        </w:rPr>
        <w:t xml:space="preserve">et al.</w:t>
      </w:r>
      <w:r>
        <w:t xml:space="preserve">, 2015)</w:t>
      </w:r>
      <w:r>
        <w:t xml:space="preserve">. This discrepancy may arise because we are analyzing the metabolism of the entire clade, while previous predictions were made on the basis of a single genome</w:t>
      </w:r>
      <w:r>
        <w:t xml:space="preserve"> </w:t>
      </w:r>
      <w:r>
        <w:t xml:space="preserve">(Garcia</w:t>
      </w:r>
      <w:r>
        <w:t xml:space="preserve"> </w:t>
      </w:r>
      <w:r>
        <w:rPr>
          <w:i/>
        </w:rPr>
        <w:t xml:space="preserve">et al.</w:t>
      </w:r>
      <w:r>
        <w:t xml:space="preserve">, 2015)</w:t>
      </w:r>
      <w:r>
        <w:t xml:space="preserve">.</w:t>
      </w:r>
    </w:p>
    <w:p>
      <w:pPr>
        <w:pStyle w:val="BodyText"/>
      </w:pPr>
      <w:r>
        <w:t xml:space="preserve">Transport proteins for many of these metabolites were among the most highly expressed in the genomes, suggesting that the success of acI’s passive lifestyle may be due to constitutive expression of its diverse transport genes, which enable it to consume any substrate in its vicinity without waiting for a regulatory response. We also observe differences in the relative expression of these transporters, which may point to differences in the importance of these substrates to acI. For example, the transporters for oligopeptides and branched-chain amino acids are generally more highly expressed than those for sugars, suggesting a preference for compounds that can supply both nitrogen and carbon. The actinorhodopsin protein is highly expressed, and may facilitate synthesis of the ATP needed to drive acI’s many ABC-type transporters.</w:t>
      </w:r>
    </w:p>
    <w:p>
      <w:pPr>
        <w:pStyle w:val="BodyText"/>
      </w:pPr>
      <w:r>
        <w:t xml:space="preserve">Our analysis also provides new insights into auxotrophies within the acI lineage, identifying THF as an auxotrophy for clade acI-A, and lysine, homoserine, and UMP as auxotrophies for acI-C. THF is a derivative of folic acid (Vitamin B9), which was previously identified as an auxotrophy for clade acI-B</w:t>
      </w:r>
      <w:r>
        <w:t xml:space="preserve"> </w:t>
      </w:r>
      <w:r>
        <w:t xml:space="preserve">(Garcia</w:t>
      </w:r>
      <w:r>
        <w:t xml:space="preserve"> </w:t>
      </w:r>
      <w:r>
        <w:rPr>
          <w:i/>
        </w:rPr>
        <w:t xml:space="preserve">et al.</w:t>
      </w:r>
      <w:r>
        <w:t xml:space="preserve">, 2015)</w:t>
      </w:r>
      <w:r>
        <w:t xml:space="preserve">. Additionally, clade acI-B was previously identified as auxotrophic for a number of amino acids, though lysine and homoserine were not among them</w:t>
      </w:r>
      <w:r>
        <w:t xml:space="preserve"> </w:t>
      </w:r>
      <w:r>
        <w:t xml:space="preserve">(Garcia</w:t>
      </w:r>
      <w:r>
        <w:t xml:space="preserve"> </w:t>
      </w:r>
      <w:r>
        <w:rPr>
          <w:i/>
        </w:rPr>
        <w:t xml:space="preserve">et al.</w:t>
      </w:r>
      <w:r>
        <w:t xml:space="preserve">, 2015)</w:t>
      </w:r>
      <w:r>
        <w:t xml:space="preserve">. These results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w:t>
      </w:r>
      <w:r>
        <w:t xml:space="preserve">.</w:t>
      </w:r>
    </w:p>
    <w:p>
      <w:pPr>
        <w:pStyle w:val="Heading1"/>
      </w:pPr>
      <w:bookmarkStart w:id="44" w:name="acknowledgements"/>
      <w:bookmarkEnd w:id="44"/>
      <w:r>
        <w:t xml:space="preserve">Acknowledgements</w:t>
      </w:r>
    </w:p>
    <w:p>
      <w:pPr>
        <w:pStyle w:val="Heading1"/>
      </w:pPr>
      <w:bookmarkStart w:id="45" w:name="conflict-of-interest"/>
      <w:bookmarkEnd w:id="45"/>
      <w:r>
        <w:t xml:space="preserve">Conflict of Interest</w:t>
      </w:r>
    </w:p>
    <w:p>
      <w:pPr>
        <w:pStyle w:val="FirstParagraph"/>
      </w:pPr>
      <w:r>
        <w:t xml:space="preserve">The authors declare no conflict of interest.</w:t>
      </w:r>
    </w:p>
    <w:p>
      <w:pPr>
        <w:pStyle w:val="Heading1"/>
      </w:pPr>
      <w:bookmarkStart w:id="46" w:name="references"/>
      <w:bookmarkEnd w:id="46"/>
      <w:r>
        <w:t xml:space="preserve">References</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Grossart H-P, Warnecke F. (2014). Successful enrichment of the ubiquitous freshwater acI Actinobacteria.</w:t>
      </w:r>
      <w:r>
        <w:t xml:space="preserve"> </w:t>
      </w:r>
      <w:r>
        <w:rPr>
          <w:i/>
        </w:rPr>
        <w:t xml:space="preserve">Environmental Microbiology Reports</w:t>
      </w:r>
      <w:r>
        <w:t xml:space="preserve"> </w:t>
      </w:r>
      <w:r>
        <w:rPr>
          <w:b/>
        </w:rPr>
        <w:t xml:space="preserve">6</w:t>
      </w:r>
      <w:r>
        <w:t xml:space="preserve">: 21–27.</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Hucka M, Finney A, Sauro HM, Bolouri H, Doyle JC, Kitano H</w:t>
      </w:r>
      <w:r>
        <w:t xml:space="preserve"> </w:t>
      </w:r>
      <w:r>
        <w:rPr>
          <w:i/>
        </w:rPr>
        <w:t xml:space="preserve">et al.</w:t>
      </w:r>
      <w:r>
        <w:t xml:space="preserve"> </w:t>
      </w:r>
      <w:r>
        <w:t xml:space="preserve">(2003). The systems biology markup language (SBML): a medium for representation and exchange of biochemical network models.</w:t>
      </w:r>
      <w:r>
        <w:t xml:space="preserve"> </w:t>
      </w:r>
      <w:r>
        <w:rPr>
          <w:i/>
        </w:rPr>
        <w:t xml:space="preserve">Bioinformatics</w:t>
      </w:r>
      <w:r>
        <w:t xml:space="preserve"> </w:t>
      </w:r>
      <w:r>
        <w:rPr>
          <w:b/>
        </w:rPr>
        <w:t xml:space="preserve">19</w:t>
      </w:r>
      <w:r>
        <w:t xml:space="preserve">: 524–531.</w:t>
      </w:r>
    </w:p>
    <w:p>
      <w:pPr>
        <w:pStyle w:val="Bibliography"/>
      </w:pPr>
      <w:r>
        <w:t xml:space="preserve">Jeong H, Tombor B, Albert R, Oltvai ZN, Barabási A-L, Database I. (2000). The large-scale organization of metabolic networks.</w:t>
      </w:r>
      <w:r>
        <w:t xml:space="preserve"> </w:t>
      </w:r>
      <w:r>
        <w:rPr>
          <w:i/>
        </w:rPr>
        <w:t xml:space="preserve">Nature</w:t>
      </w:r>
      <w:r>
        <w:t xml:space="preserve"> </w:t>
      </w:r>
      <w:r>
        <w:rPr>
          <w:b/>
        </w:rPr>
        <w:t xml:space="preserve">407</w:t>
      </w:r>
      <w:r>
        <w:t xml:space="preserve">: 651–654.</w:t>
      </w:r>
    </w:p>
    <w:p>
      <w:pPr>
        <w:pStyle w:val="Bibliography"/>
      </w:pPr>
      <w:r>
        <w:t xml:space="preserve">Joshi N, Fass J. (2011). Sickle: A sliding-window, adaptive, quality-based trimming tool for FastQ files.</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Richardson EJ, Watson M. (2013). The automatic annotation of bacterial genomes.</w:t>
      </w:r>
      <w:r>
        <w:t xml:space="preserve"> </w:t>
      </w:r>
      <w:r>
        <w:rPr>
          <w:i/>
        </w:rPr>
        <w:t xml:space="preserve">Briefings in Bioinformatics</w:t>
      </w:r>
      <w:r>
        <w:t xml:space="preserve"> </w:t>
      </w:r>
      <w:r>
        <w:rPr>
          <w:b/>
        </w:rPr>
        <w:t xml:space="preserve">14</w:t>
      </w:r>
      <w:r>
        <w:t xml:space="preserve">: 1–12.</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Sharma AK, Sommerfeld K, Bullerjahn GS, Matteson AR, Wilhelm SW, Jezbera J</w:t>
      </w:r>
      <w:r>
        <w:t xml:space="preserve"> </w:t>
      </w:r>
      <w:r>
        <w:rPr>
          <w:i/>
        </w:rPr>
        <w:t xml:space="preserve">et al.</w:t>
      </w:r>
      <w:r>
        <w:t xml:space="preserve"> </w:t>
      </w:r>
      <w:r>
        <w:t xml:space="preserve">(2009). Actinorhodopsin genes discovered in diverse freshwater habitats and among cultivated freshwater Actinobacteria.</w:t>
      </w:r>
      <w:r>
        <w:t xml:space="preserve"> </w:t>
      </w:r>
      <w:r>
        <w:rPr>
          <w:i/>
        </w:rPr>
        <w:t xml:space="preserve">The ISME Journal</w:t>
      </w:r>
      <w:r>
        <w:t xml:space="preserve"> </w:t>
      </w:r>
      <w:r>
        <w:rPr>
          <w:b/>
        </w:rPr>
        <w:t xml:space="preserve">3</w:t>
      </w:r>
      <w:r>
        <w:t xml:space="preserve">: 726–737.</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1aafd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0" Target="https://pypi.python.org/pypi/reverseEcology/" TargetMode="External" /></Relationships>
</file>

<file path=word/_rels/footnotes.xml.rels><?xml version="1.0" encoding="UTF-8"?>
<Relationships xmlns="http://schemas.openxmlformats.org/package/2006/relationships"><Relationship Type="http://schemas.openxmlformats.org/officeDocument/2006/relationships/hyperlink" Id="rId30" Target="https://pypi.python.org/pypi/reverseEc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