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r>
        <w:t xml:space="preserve"> </w:t>
      </w:r>
      <w:r>
        <w:t xml:space="preserve">for</w:t>
      </w:r>
      <w:r>
        <w:t xml:space="preserve"> </w:t>
      </w:r>
      <w:r>
        <w:t xml:space="preserve">‘</w:t>
      </w:r>
      <w:r>
        <w:t xml:space="preserve">High-Throughput</w:t>
      </w:r>
      <w:r>
        <w:t xml:space="preserve"> </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metagenome-assembled genomes (MAGs) obtained from two metagenomic time-series from two Wisconsin lakes, as well as single-cell genomes (SAGs) from three lakes in the United States. Additional information about this genome collection can be found below.</w:t>
      </w:r>
    </w:p>
    <w:p>
      <w:pPr>
        <w:pStyle w:val="Heading3"/>
      </w:pPr>
      <w:bookmarkStart w:id="23" w:name="single-cell-genome-generation-classification-and-sequencing"/>
      <w:bookmarkEnd w:id="23"/>
      <w:r>
        <w:t xml:space="preserve">Single-Cell Genome Generation, Classification,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w:t>
      </w:r>
      <w:r>
        <w:t xml:space="preserve">. Partial 16S rRNA genes amplified previously</w:t>
      </w:r>
      <w:r>
        <w:t xml:space="preserve"> </w:t>
      </w:r>
      <w:r>
        <w:t xml:space="preserve">(Martinez-Garcia</w:t>
      </w:r>
      <w:r>
        <w:t xml:space="preserve"> </w:t>
      </w:r>
      <w:r>
        <w:rPr>
          <w:i/>
        </w:rPr>
        <w:t xml:space="preserve">et al.</w:t>
      </w:r>
      <w:r>
        <w:t xml:space="preserve">, 2012)</w:t>
      </w:r>
      <w:r>
        <w:t xml:space="preserve"> </w:t>
      </w:r>
      <w:r>
        <w:t xml:space="preserve">were phylogenetically classified using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w:t>
      </w:r>
      <w:r>
        <w:t xml:space="preserve"> </w:t>
      </w:r>
      <w:r>
        <w:rPr>
          <w:i/>
        </w:rPr>
        <w:t xml:space="preserve">et al.</w:t>
      </w:r>
      <w:r>
        <w:t xml:space="preserve">,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(Gnerre</w:t>
      </w:r>
      <w:r>
        <w:t xml:space="preserve"> </w:t>
      </w:r>
      <w:r>
        <w:rPr>
          <w:i/>
        </w:rPr>
        <w:t xml:space="preserve">et al.</w:t>
      </w:r>
      <w:r>
        <w:t xml:space="preserve">, 2011)</w:t>
      </w:r>
      <w:r>
        <w:t xml:space="preserve">. Additional details of the assembly process have been previously described</w:t>
      </w:r>
      <w:r>
        <w:t xml:space="preserve"> </w:t>
      </w:r>
      <w:r>
        <w:t xml:space="preserve">(Ghylin</w:t>
      </w:r>
      <w:r>
        <w:t xml:space="preserve"> </w:t>
      </w:r>
      <w:r>
        <w:rPr>
          <w:i/>
        </w:rPr>
        <w:t xml:space="preserve">et al.</w:t>
      </w:r>
      <w:r>
        <w:t xml:space="preserve">, 2014)</w:t>
      </w:r>
      <w:r>
        <w:t xml:space="preserve"> </w:t>
      </w:r>
      <w:r>
        <w:t xml:space="preserve">and are available through the JGI Genome Portal (http://genome.jgi.doe.gov).f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genomic binning for the Trout Bog samples</w:t>
      </w:r>
      <w:r>
        <w:t xml:space="preserve"> </w:t>
      </w:r>
      <w:r>
        <w:t xml:space="preserve">(Bendall</w:t>
      </w:r>
      <w:r>
        <w:t xml:space="preserve"> </w:t>
      </w:r>
      <w:r>
        <w:rPr>
          <w:i/>
        </w:rPr>
        <w:t xml:space="preserve">et al.</w:t>
      </w:r>
      <w:r>
        <w:t xml:space="preserve">, 2016)</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DNA was extracted from these filters using the FastDNA kit (MP Biomedicals) and sent to the JGI for sequencing,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S12.</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Merged reads were pooled by lake and layer into three co-assemblies using SOAPdenovo</w:t>
      </w:r>
      <w:r>
        <w:t xml:space="preserve"> </w:t>
      </w:r>
      <w:r>
        <w:t xml:space="preserve">(Luo</w:t>
      </w:r>
      <w:r>
        <w:t xml:space="preserve"> </w:t>
      </w:r>
      <w:r>
        <w:rPr>
          <w:i/>
        </w:rPr>
        <w:t xml:space="preserve">et al.</w:t>
      </w:r>
      <w:r>
        <w:t xml:space="preserve">, 2012)</w:t>
      </w:r>
      <w:r>
        <w:t xml:space="preserve">, and contigs from the resulting assemblies were assembled into a final assembly using Minimus</w:t>
      </w:r>
      <w:r>
        <w:t xml:space="preserve"> </w:t>
      </w:r>
      <w:r>
        <w:t xml:space="preserve">(Sommer</w:t>
      </w:r>
      <w:r>
        <w:t xml:space="preserve"> </w:t>
      </w:r>
      <w:r>
        <w:rPr>
          <w:i/>
        </w:rPr>
        <w:t xml:space="preserve">et al.</w:t>
      </w:r>
      <w:r>
        <w:t xml:space="preserve">, 2007)</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Additional details of the assembly process are available through the JGI Genome Portal (http://genome.jgi.doe.gov) under Proposal ID 394. The full list of assemblies is given in Table S13.</w:t>
      </w:r>
    </w:p>
    <w:p>
      <w:pPr>
        <w:pStyle w:val="BodyText"/>
      </w:pPr>
      <w:r>
        <w:t xml:space="preserve">Genomes were binned from each metagenomic co-assembly using MetaBat</w:t>
      </w:r>
      <w:r>
        <w:t xml:space="preserve"> </w:t>
      </w:r>
      <w:r>
        <w:t xml:space="preserve">(Kang</w:t>
      </w:r>
      <w:r>
        <w:t xml:space="preserve"> </w:t>
      </w:r>
      <w:r>
        <w:rPr>
          <w:i/>
        </w:rPr>
        <w:t xml:space="preserve">et al.</w:t>
      </w:r>
      <w:r>
        <w:t xml:space="preserve">, 2015)</w:t>
      </w:r>
      <w:r>
        <w:t xml:space="preserve">, as described previously</w:t>
      </w:r>
      <w:r>
        <w:t xml:space="preserve"> </w:t>
      </w:r>
      <w:r>
        <w:t xml:space="preserve">(Bendall</w:t>
      </w:r>
      <w:r>
        <w:t xml:space="preserve"> </w:t>
      </w:r>
      <w:r>
        <w:rPr>
          <w:i/>
        </w:rPr>
        <w:t xml:space="preserve">et al.</w:t>
      </w:r>
      <w:r>
        <w:t xml:space="preserve">, 2016)</w:t>
      </w:r>
      <w:r>
        <w:t xml:space="preserve">. Briefly, contigs were classified into bins using tetranucleotide frequency and coverage patterns across the time-series and then manually curated, as previously described</w:t>
      </w:r>
      <w:r>
        <w:t xml:space="preserve"> </w:t>
      </w:r>
      <w:r>
        <w:t xml:space="preserve">(Bendall</w:t>
      </w:r>
      <w:r>
        <w:t xml:space="preserve"> </w:t>
      </w:r>
      <w:r>
        <w:rPr>
          <w:i/>
        </w:rPr>
        <w:t xml:space="preserve">et al.</w:t>
      </w:r>
      <w:r>
        <w:t xml:space="preserve">, 2016)</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w:t>
      </w:r>
      <w:r>
        <w:t xml:space="preserve"> </w:t>
      </w:r>
      <w:r>
        <w:rPr>
          <w:i/>
        </w:rPr>
        <w:t xml:space="preserve">et al.</w:t>
      </w:r>
      <w:r>
        <w:t xml:space="preserve">, 2014)</w:t>
      </w:r>
      <w:r>
        <w:t xml:space="preserve">, as previously described</w:t>
      </w:r>
      <w:r>
        <w:t xml:space="preserve"> </w:t>
      </w:r>
      <w:r>
        <w:t xml:space="preserve">(Bendall</w:t>
      </w:r>
      <w:r>
        <w:t xml:space="preserve"> </w:t>
      </w:r>
      <w:r>
        <w:rPr>
          <w:i/>
        </w:rPr>
        <w:t xml:space="preserve">et al.</w:t>
      </w:r>
      <w:r>
        <w:t xml:space="preserve">, 2016)</w:t>
      </w:r>
      <w:r>
        <w:t xml:space="preserve">. 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genome-annotation-metabolic-network-reconstruction-and-computation-and-evaluation-of-seed-compounds"/>
      <w:bookmarkEnd w:id="26"/>
      <w:r>
        <w:t xml:space="preserve">Genome Annotation, Metabolic Network Reconstruction, and Computation and Evaluation of Seed Compounds</w:t>
      </w:r>
    </w:p>
    <w:p>
      <w:pPr>
        <w:pStyle w:val="FirstParagraph"/>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reconstruction.</w:t>
      </w:r>
    </w:p>
    <w:p>
      <w:pPr>
        <w:pStyle w:val="BodyText"/>
      </w:pPr>
      <w:r>
        <w:t xml:space="preserve">Reconstructions were then pruned and converted to metabolic network graphs (Figure S1).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(Ma and Zeng, 2003a)</w:t>
      </w:r>
      <w:r>
        <w:t xml:space="preserve">. Finally, the metabolic network graph was extracted from the reconstruction, to enable graph-theoretical identification of the network’s seed set.</w:t>
      </w:r>
    </w:p>
    <w:p>
      <w:pPr>
        <w:pStyle w:val="BodyText"/>
      </w:pPr>
      <w:r>
        <w:t xml:space="preserve">Many of the individual acI genomes are incomplete (see Results). Therefore, composite metabolic network graphs were constructed for each clade, to increase the accuracy of seed identification (Figure S2).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w:t>
      </w:r>
      <w:r>
        <w:t xml:space="preserve">(Figure S3).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size of the seed set.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below.</w:t>
      </w:r>
    </w:p>
    <w:p>
      <w:pPr>
        <w:pStyle w:val="BodyText"/>
      </w:pPr>
      <w:r>
        <w:t xml:space="preserve">All steps were implemented using Python scripts, freely available as part of the reverseEcology Python package (https://pypi.python.org/pypi/reverseEcology/, DOI:######).</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S14). On average, these genes account for 25% of the genes in the genome, a value consistent with metabolic network reconstructions for other organisms</w:t>
      </w:r>
      <w:r>
        <w:t xml:space="preserve"> </w:t>
      </w:r>
      <w:r>
        <w:t xml:space="preserve">(see Supplementary Table 2 in Feist</w:t>
      </w:r>
      <w:r>
        <w:t xml:space="preserve"> </w:t>
      </w:r>
      <w:r>
        <w:rPr>
          <w:i/>
        </w:rPr>
        <w:t xml:space="preserve">et al.</w:t>
      </w:r>
      <w:r>
        <w:t xml:space="preserve">, 2009)</w:t>
      </w:r>
      <w:r>
        <w:t xml:space="preserve">. Clade-level composite metabolic network graphs were larger, with between 602 and 811 metabolites (Table S15).</w:t>
      </w:r>
    </w:p>
    <w:p>
      <w:pPr>
        <w:pStyle w:val="BodyText"/>
      </w:pPr>
      <w:r>
        <w:t xml:space="preserve">These composite metabolic network graphs contained a large number of disconnected components (groups of nodes that are not connected to the bulk of the network, Figure S4). For simplicity, these components were dropped from the graph, and seed compounds were computed for the single largest component. In all cases, the single largest component contained at least 80% of the nodes in the original graph (Table S15).</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S4). Across the three clades, the giant component contained 61% of the metabolites, a larger fraction than reported for other organisms</w:t>
      </w:r>
      <w:r>
        <w:t xml:space="preserve"> </w:t>
      </w:r>
      <w:r>
        <w:t xml:space="preserve">(Ma and Zeng, 2003b)</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S15). This discrepancy arises because some seed sets contain multiple compounds (Table S16). However, such seed sets were rare (4% of all seed sets), and contained at most six compounds (Table S16). The majority of seed compounds (96%) belonged to seed sets containing only a single compound (Table S16).</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2"/>
      </w:pPr>
      <w:bookmarkStart w:id="30" w:name="compounds-transported-by-the-aci-lineage"/>
      <w:bookmarkEnd w:id="30"/>
      <w:r>
        <w:t xml:space="preserve">Compounds Transported by the acI Lineage</w:t>
      </w:r>
    </w:p>
    <w:p>
      <w:pPr>
        <w:pStyle w:val="FirstParagraph"/>
      </w:pPr>
      <w:r>
        <w:t xml:space="preserve">The presence of multiple branched-chain amino acid and oligopeptide transporters attests to the importance of these compounds to acI’s lifestyle. These ABC transporters are composed of four subunits, including two membrane-associated ATPases and two transmembrane proteins that generally determine the substrate specificity of the transporter</w:t>
      </w:r>
      <w:r>
        <w:t xml:space="preserve"> </w:t>
      </w:r>
      <w:r>
        <w:t xml:space="preserve">(Higgins, 1992)</w:t>
      </w:r>
      <w:r>
        <w:t xml:space="preserve">. We identified a total of ten distinct oligopeptide transporters within our 36 freshwater acI genomes (Table S10), each with a unique transmembrane (oligopeptide-binding) protein. Six of these transporters are found in all three clades, while the remaining four are present in just one or two clades (Table S10). Similarly, we identified a total of six distinct branched-chain amino acid transporters. In these transporters, an amino acid-binding protein, rather than the transmembrane proteins, determines the substrate specificity</w:t>
      </w:r>
      <w:r>
        <w:t xml:space="preserve"> </w:t>
      </w:r>
      <w:r>
        <w:t xml:space="preserve">(Adams</w:t>
      </w:r>
      <w:r>
        <w:t xml:space="preserve"> </w:t>
      </w:r>
      <w:r>
        <w:rPr>
          <w:i/>
        </w:rPr>
        <w:t xml:space="preserve">et al.</w:t>
      </w:r>
      <w:r>
        <w:t xml:space="preserve">, 1990)</w:t>
      </w:r>
      <w:r>
        <w:t xml:space="preserve">. Five of the six transporters in our genomes contain the same four transmembrane and ATPase subunits, differing only in the amino acid binding subunit (Table S10). Of these five distinct amino acid binding proteins, only one is found in all three clades, with the others being found in just one or two clades (Table S10). The diversity of these transporters both within and between clades suggests the acI are adapted to a variety of amino acids and oligopeptides, with further specialization within each clade.</w:t>
      </w:r>
    </w:p>
    <w:p>
      <w:pPr>
        <w:pStyle w:val="Heading1"/>
      </w:pPr>
      <w:bookmarkStart w:id="31" w:name="references"/>
      <w:bookmarkEnd w:id="31"/>
      <w:r>
        <w:t xml:space="preserve">References</w:t>
      </w:r>
    </w:p>
    <w:p>
      <w:pPr>
        <w:pStyle w:val="Bibliography"/>
      </w:pPr>
      <w:r>
        <w:t xml:space="preserve">Adams MD, Wagner LM, Gibson AL, Oxenderll DL. (1990). Nucleotide Sequence and Genetic Characterization Reveal Six Essential Genes for the LIV-I and LS Transport Systems of Escherichia coli.</w:t>
      </w:r>
      <w:r>
        <w:t xml:space="preserve"> </w:t>
      </w:r>
      <w:r>
        <w:rPr>
          <w:i/>
        </w:rPr>
        <w:t xml:space="preserve">Journal of Biological Chemistry</w:t>
      </w:r>
      <w:r>
        <w:t xml:space="preserve"> </w:t>
      </w:r>
      <w:r>
        <w:rPr>
          <w:b/>
        </w:rPr>
        <w:t xml:space="preserve">265</w:t>
      </w:r>
      <w:r>
        <w:t xml:space="preserve">: 11436–11443.</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32">
        <w:r>
          <w:rPr>
            <w:rStyle w:val="Hyperlink"/>
          </w:rPr>
          <w:t xml:space="preserve">doi: http://dx.doi.org/10.1101/080168</w:t>
        </w:r>
      </w:hyperlink>
      <w:r>
        <w:t xml:space="preserve">.</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Gnerre S, Maccallum I, Przybylski D, Ribeiro FJ, Burton JN, Walker BJ</w:t>
      </w:r>
      <w:r>
        <w:t xml:space="preserve"> </w:t>
      </w:r>
      <w:r>
        <w:rPr>
          <w:i/>
        </w:rPr>
        <w:t xml:space="preserve">et al.</w:t>
      </w:r>
      <w:r>
        <w:t xml:space="preserve"> </w:t>
      </w:r>
      <w:r>
        <w:t xml:space="preserve">(2011). High-quality draft assemblies of mammalian genomes from massively parallel sequence data.</w:t>
      </w:r>
      <w:r>
        <w:t xml:space="preserve"> </w:t>
      </w:r>
      <w:r>
        <w:rPr>
          <w:i/>
        </w:rPr>
        <w:t xml:space="preserve">Proceedings of the National Academy of Sciences</w:t>
      </w:r>
      <w:r>
        <w:t xml:space="preserve"> </w:t>
      </w:r>
      <w:r>
        <w:rPr>
          <w:b/>
        </w:rPr>
        <w:t xml:space="preserve">108</w:t>
      </w:r>
      <w:r>
        <w:t xml:space="preserve">: 1513–1518.</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Higgins CF. (1992). Abc Transporters - From Microorganisms To Man.</w:t>
      </w:r>
      <w:r>
        <w:t xml:space="preserve"> </w:t>
      </w:r>
      <w:r>
        <w:rPr>
          <w:i/>
        </w:rPr>
        <w:t xml:space="preserve">Annual Review of Cell Biology</w:t>
      </w:r>
      <w:r>
        <w:t xml:space="preserve"> </w:t>
      </w:r>
      <w:r>
        <w:rPr>
          <w:b/>
        </w:rPr>
        <w:t xml:space="preserve">8</w:t>
      </w:r>
      <w:r>
        <w:t xml:space="preserve">: 67–113.</w:t>
      </w:r>
    </w:p>
    <w:p>
      <w:pPr>
        <w:pStyle w:val="Bibliography"/>
      </w:pPr>
      <w:r>
        <w:t xml:space="preserve">Joshi NA, Fass JN. (2011). Sickle: A sliding-window, adaptive, quality-based trimming tool for FastQ files (Version 1.33).</w:t>
      </w:r>
    </w:p>
    <w:p>
      <w:pPr>
        <w:pStyle w:val="Bibliography"/>
      </w:pPr>
      <w:r>
        <w:t xml:space="preserve">Kang DD, Froula J, Egan R, Wang Z. (2015). MetaBAT, an efficient tool for accurately reconstructing single genomes from complex microbial communities.</w:t>
      </w:r>
      <w:r>
        <w:t xml:space="preserve"> </w:t>
      </w:r>
      <w:r>
        <w:rPr>
          <w:i/>
        </w:rPr>
        <w:t xml:space="preserve">PeerJ</w:t>
      </w:r>
      <w:r>
        <w:t xml:space="preserve"> </w:t>
      </w:r>
      <w:r>
        <w:rPr>
          <w:b/>
        </w:rPr>
        <w:t xml:space="preserve">3</w:t>
      </w:r>
      <w:r>
        <w:t xml:space="preserve">: e1165.</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Luo R, Liu B, Xie Y, Li Z, Huang W, Yuan J</w:t>
      </w:r>
      <w:r>
        <w:t xml:space="preserve"> </w:t>
      </w:r>
      <w:r>
        <w:rPr>
          <w:i/>
        </w:rPr>
        <w:t xml:space="preserve">et al.</w:t>
      </w:r>
      <w:r>
        <w:t xml:space="preserve"> </w:t>
      </w:r>
      <w:r>
        <w:t xml:space="preserve">(2012). SOAPdenovo2: an empirically improved memory-efficient short-read de novo assembler.</w:t>
      </w:r>
      <w:r>
        <w:t xml:space="preserve"> </w:t>
      </w:r>
      <w:r>
        <w:rPr>
          <w:i/>
        </w:rPr>
        <w:t xml:space="preserve">GigaScience</w:t>
      </w:r>
      <w:r>
        <w:t xml:space="preserve"> </w:t>
      </w:r>
      <w:r>
        <w:rPr>
          <w:b/>
        </w:rPr>
        <w:t xml:space="preserve">1</w:t>
      </w:r>
      <w:r>
        <w:t xml:space="preserve">: 18.</w:t>
      </w:r>
    </w:p>
    <w:p>
      <w:pPr>
        <w:pStyle w:val="Bibliography"/>
      </w:pPr>
      <w:r>
        <w:t xml:space="preserve">Ma H, Zeng A-P. (2003a).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 HW, Zeng A-P. (2003b). The connectivity structure, giant strong component and centrality of metabolic networks.</w:t>
      </w:r>
      <w:r>
        <w:t xml:space="preserve"> </w:t>
      </w:r>
      <w:r>
        <w:rPr>
          <w:i/>
        </w:rPr>
        <w:t xml:space="preserve">Bioinformatics</w:t>
      </w:r>
      <w:r>
        <w:t xml:space="preserve"> </w:t>
      </w:r>
      <w:r>
        <w:rPr>
          <w:b/>
        </w:rPr>
        <w:t xml:space="preserve">19</w:t>
      </w:r>
      <w:r>
        <w:t xml:space="preserve">: 1423–1430.</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Sommer DD, Delcher AL, Salzberg SL, Pop M. (2007). Minimus: a fast, lightweight genome assembler.</w:t>
      </w:r>
      <w:r>
        <w:t xml:space="preserve"> </w:t>
      </w:r>
      <w:r>
        <w:rPr>
          <w:i/>
        </w:rPr>
        <w:t xml:space="preserve">BMC Bioinformatics</w:t>
      </w:r>
      <w:r>
        <w:t xml:space="preserve"> </w:t>
      </w:r>
      <w:r>
        <w:rPr>
          <w:b/>
        </w:rPr>
        <w:t xml:space="preserve">8</w:t>
      </w:r>
      <w:r>
        <w:t xml:space="preserve">: 64.</w:t>
      </w:r>
    </w:p>
    <w:p>
      <w:pPr>
        <w:pStyle w:val="Bibliography"/>
      </w:pPr>
      <w:r>
        <w:t xml:space="preserve">Zerbino DR, Birney E. (2008). Velvet: Algorithms for de novo short read assembly using de Bruijn graphs.</w:t>
      </w:r>
      <w:r>
        <w:t xml:space="preserve"> </w:t>
      </w:r>
      <w:r>
        <w:rPr>
          <w:i/>
        </w:rPr>
        <w:t xml:space="preserve">Genome Research</w:t>
      </w:r>
      <w:r>
        <w:t xml:space="preserve"> </w:t>
      </w:r>
      <w:r>
        <w:rPr>
          <w:b/>
        </w:rPr>
        <w:t xml:space="preserve">18</w:t>
      </w:r>
      <w:r>
        <w:t xml:space="preserve">: 821–829.</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f267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32"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 for High-Throughput Metabolic Network Analysis and Metatranscriptomics of a Cosmopolitan and Streamlined Freshwater Lineage</dc:title>
  <dc:creator>Joshua J. Hamilton1,*, TBD, and Katherine D. McMahon1,2,*</dc:creator>
</cp:coreProperties>
</file>