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Supplmentary</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single-cell-genome-generation-selection-and-sequencing"/>
      <w:bookmarkEnd w:id="22"/>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w:t>
      </w:r>
      <w:r>
        <w:t xml:space="preserve">. Partial 16S rRNA genes amplified previously</w:t>
      </w:r>
      <w:r>
        <w:t xml:space="preserve"> </w:t>
      </w:r>
      <w:r>
        <w:t xml:space="preserve">(Martinez-Garcia</w:t>
      </w:r>
      <w:r>
        <w:t xml:space="preserve"> </w:t>
      </w:r>
      <w:r>
        <w:rPr>
          <w:i/>
        </w:rPr>
        <w:t xml:space="preserve">et al.</w:t>
      </w:r>
      <w:r>
        <w:t xml:space="preserve">, 2012)</w:t>
      </w:r>
      <w:r>
        <w:t xml:space="preserve"> </w:t>
      </w:r>
      <w:r>
        <w:t xml:space="preserve">were phylogenetically classified using a controlled nomenclature for freshwater bacteria</w:t>
      </w:r>
      <w:r>
        <w:t xml:space="preserve"> </w:t>
      </w:r>
      <w:r>
        <w:t xml:space="preserve">(Newton</w:t>
      </w:r>
      <w:r>
        <w:t xml:space="preserve"> </w:t>
      </w:r>
      <w:r>
        <w:rPr>
          <w:i/>
        </w:rPr>
        <w:t xml:space="preserve">et al.</w:t>
      </w:r>
      <w:r>
        <w:t xml:space="preserve">, 2011)</w:t>
      </w:r>
      <w:r>
        <w:t xml:space="preserve"> </w:t>
      </w:r>
      <w:r>
        <w:t xml:space="preserve">by insertion into references trees created in the ARB software package</w:t>
      </w:r>
      <w:r>
        <w:t xml:space="preserve"> </w:t>
      </w:r>
      <w:r>
        <w:t xml:space="preserve">(Ludwig</w:t>
      </w:r>
      <w:r>
        <w:t xml:space="preserve"> </w:t>
      </w:r>
      <w:r>
        <w:rPr>
          <w:i/>
        </w:rPr>
        <w:t xml:space="preserve">et al.</w:t>
      </w:r>
      <w:r>
        <w:t xml:space="preserve">,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w:t>
      </w:r>
      <w:r>
        <w:t xml:space="preserve"> </w:t>
      </w:r>
      <w:r>
        <w:rPr>
          <w:i/>
        </w:rPr>
        <w:t xml:space="preserve">et al.</w:t>
      </w:r>
      <w:r>
        <w:t xml:space="preserve">,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(Butler</w:t>
      </w:r>
      <w:r>
        <w:t xml:space="preserve"> </w:t>
      </w:r>
      <w:r>
        <w:rPr>
          <w:i/>
        </w:rPr>
        <w:t xml:space="preserve">et al.</w:t>
      </w:r>
      <w:r>
        <w:t xml:space="preserve">, 2008)</w:t>
      </w:r>
      <w:r>
        <w:t xml:space="preserve">. Additional details of the assembly process have been previously described</w:t>
      </w:r>
      <w:r>
        <w:t xml:space="preserve"> </w:t>
      </w:r>
      <w:r>
        <w:t xml:space="preserve">(Ghylin</w:t>
      </w:r>
      <w:r>
        <w:t xml:space="preserve"> </w:t>
      </w:r>
      <w:r>
        <w:rPr>
          <w:i/>
        </w:rPr>
        <w:t xml:space="preserve">et al.</w:t>
      </w:r>
      <w:r>
        <w:t xml:space="preserve">,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3" w:name="metagenome-sampling-sequencing-assembly-and-binning"/>
      <w:bookmarkEnd w:id="23"/>
      <w:r>
        <w:t xml:space="preserve">Metagenome Sampling, Sequencing, Assembly, and Binning</w:t>
      </w:r>
    </w:p>
    <w:p>
      <w:pPr>
        <w:pStyle w:val="FirstParagraph"/>
      </w:pPr>
      <w:r>
        <w:t xml:space="preserve">Sample collection, DNA sequencing, metagenomic assembly, and genomic binning for the Trout Bog samples have been described previously</w:t>
      </w:r>
      <w:r>
        <w:t xml:space="preserve"> </w:t>
      </w:r>
      <w:r>
        <w:t xml:space="preserve">(Bendall</w:t>
      </w:r>
      <w:r>
        <w:t xml:space="preserve"> </w:t>
      </w:r>
      <w:r>
        <w:rPr>
          <w:i/>
        </w:rPr>
        <w:t xml:space="preserve">et al.</w:t>
      </w:r>
      <w:r>
        <w:t xml:space="preserve">,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w:t>
      </w:r>
      <w:r>
        <w:t xml:space="preserve"> </w:t>
      </w:r>
      <w:r>
        <w:rPr>
          <w:i/>
        </w:rPr>
        <w:t xml:space="preserve">et al.</w:t>
      </w:r>
      <w:r>
        <w:t xml:space="preserve">, 2016)</w:t>
      </w:r>
      <w:r>
        <w:t xml:space="preserve">. DNA was extracted from these filters using the FastDNA kit (MP Biomedicals) and sent to the JGI for sequencing, as described previously</w:t>
      </w:r>
      <w:r>
        <w:t xml:space="preserve"> </w:t>
      </w:r>
      <w:r>
        <w:t xml:space="preserve">(Bendall</w:t>
      </w:r>
      <w:r>
        <w:t xml:space="preserve"> </w:t>
      </w:r>
      <w:r>
        <w:rPr>
          <w:i/>
        </w:rPr>
        <w:t xml:space="preserve">et al.</w:t>
      </w:r>
      <w:r>
        <w:t xml:space="preserve">,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w:t>
      </w:r>
      <w:r>
        <w:t xml:space="preserve"> </w:t>
      </w:r>
      <w:r>
        <w:rPr>
          <w:i/>
        </w:rPr>
        <w:t xml:space="preserve">et al.</w:t>
      </w:r>
      <w:r>
        <w:t xml:space="preserve">,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w:t>
      </w:r>
      <w:r>
        <w:t xml:space="preserve"> </w:t>
      </w:r>
      <w:r>
        <w:rPr>
          <w:i/>
        </w:rPr>
        <w:t xml:space="preserve">et al.</w:t>
      </w:r>
      <w:r>
        <w:t xml:space="preserve">, 2016)</w:t>
      </w:r>
      <w:r>
        <w:t xml:space="preserve">. Merged reads were pooled by lake and layer into three co-assemblies using SOAPdenovo</w:t>
      </w:r>
      <w:r>
        <w:t xml:space="preserve"> </w:t>
      </w:r>
      <w:r>
        <w:t xml:space="preserve">(Luo</w:t>
      </w:r>
      <w:r>
        <w:t xml:space="preserve"> </w:t>
      </w:r>
      <w:r>
        <w:rPr>
          <w:i/>
        </w:rPr>
        <w:t xml:space="preserve">et al.</w:t>
      </w:r>
      <w:r>
        <w:t xml:space="preserve">, 2012)</w:t>
      </w:r>
      <w:r>
        <w:t xml:space="preserve">, and contigs from the resulting assemblies were assembled into a final assembly using Minimus</w:t>
      </w:r>
      <w:r>
        <w:t xml:space="preserve"> </w:t>
      </w:r>
      <w:r>
        <w:t xml:space="preserve">(Sommer</w:t>
      </w:r>
      <w:r>
        <w:t xml:space="preserve"> </w:t>
      </w:r>
      <w:r>
        <w:rPr>
          <w:i/>
        </w:rPr>
        <w:t xml:space="preserve">et al.</w:t>
      </w:r>
      <w:r>
        <w:t xml:space="preserve">, 2007)</w:t>
      </w:r>
      <w:r>
        <w:t xml:space="preserve">, as previously described</w:t>
      </w:r>
      <w:r>
        <w:t xml:space="preserve"> </w:t>
      </w:r>
      <w:r>
        <w:t xml:space="preserve">(Bendall</w:t>
      </w:r>
      <w:r>
        <w:t xml:space="preserve"> </w:t>
      </w:r>
      <w:r>
        <w:rPr>
          <w:i/>
        </w:rPr>
        <w:t xml:space="preserve">et al.</w:t>
      </w:r>
      <w:r>
        <w:t xml:space="preserve">,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(Kang</w:t>
      </w:r>
      <w:r>
        <w:t xml:space="preserve"> </w:t>
      </w:r>
      <w:r>
        <w:rPr>
          <w:i/>
        </w:rPr>
        <w:t xml:space="preserve">et al.</w:t>
      </w:r>
      <w:r>
        <w:t xml:space="preserve">, 2015)</w:t>
      </w:r>
      <w:r>
        <w:t xml:space="preserve">, as described previously</w:t>
      </w:r>
      <w:r>
        <w:t xml:space="preserve"> </w:t>
      </w:r>
      <w:r>
        <w:t xml:space="preserve">(Bendall</w:t>
      </w:r>
      <w:r>
        <w:t xml:space="preserve"> </w:t>
      </w:r>
      <w:r>
        <w:rPr>
          <w:i/>
        </w:rPr>
        <w:t xml:space="preserve">et al.</w:t>
      </w:r>
      <w:r>
        <w:t xml:space="preserve">, 2016)</w:t>
      </w:r>
      <w:r>
        <w:t xml:space="preserve">. Briefly, contigs were classified into bins using tetranucleotide frequency and coverage patterns across the time-series and then manually curated, as previously described</w:t>
      </w:r>
      <w:r>
        <w:t xml:space="preserve"> </w:t>
      </w:r>
      <w:r>
        <w:t xml:space="preserve">(Bendall</w:t>
      </w:r>
      <w:r>
        <w:t xml:space="preserve"> </w:t>
      </w:r>
      <w:r>
        <w:rPr>
          <w:i/>
        </w:rPr>
        <w:t xml:space="preserve">et al.</w:t>
      </w:r>
      <w:r>
        <w:t xml:space="preserve">, 2016)</w:t>
      </w:r>
      <w:r>
        <w:t xml:space="preserve">. Genome sequences are available through IMG (https://img.jgi.doe.gov/cgi-bin/mer/main.cgi), and can be accessed in both databases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w:t>
      </w:r>
      <w:r>
        <w:t xml:space="preserve"> </w:t>
      </w:r>
      <w:r>
        <w:rPr>
          <w:i/>
        </w:rPr>
        <w:t xml:space="preserve">et al.</w:t>
      </w:r>
      <w:r>
        <w:t xml:space="preserve">, 2014)</w:t>
      </w:r>
      <w:r>
        <w:t xml:space="preserve">, as previously described</w:t>
      </w:r>
      <w:r>
        <w:t xml:space="preserve"> </w:t>
      </w:r>
      <w:r>
        <w:t xml:space="preserve">(Bendall</w:t>
      </w:r>
      <w:r>
        <w:t xml:space="preserve"> </w:t>
      </w:r>
      <w:r>
        <w:rPr>
          <w:i/>
        </w:rPr>
        <w:t xml:space="preserve">et al.</w:t>
      </w:r>
      <w:r>
        <w:t xml:space="preserve">, 2016)</w:t>
      </w:r>
      <w:r>
        <w:t xml:space="preserve">.</w:t>
      </w:r>
    </w:p>
    <w:p>
      <w:pPr>
        <w:pStyle w:val="Heading2"/>
      </w:pPr>
      <w:bookmarkStart w:id="24" w:name="metatranscriptome-sampling-and-sequencing"/>
      <w:bookmarkEnd w:id="24"/>
      <w:r>
        <w:t xml:space="preserve">Metatranscriptome Sampling and Sequencing</w:t>
      </w:r>
    </w:p>
    <w:p>
      <w:pPr>
        <w:pStyle w:val="FirstParagraph"/>
      </w:pPr>
      <w:r>
        <w:t xml:space="preserve">Prior to RNA extraction, three samples were spiked with an internal standard to enable quantification of total transcript abundance, following an established protocol</w:t>
      </w:r>
      <w:r>
        <w:t xml:space="preserve"> </w:t>
      </w:r>
      <w:r>
        <w:t xml:space="preserve">(Satinsky</w:t>
      </w:r>
      <w:r>
        <w:t xml:space="preserve"> </w:t>
      </w:r>
      <w:r>
        <w:rPr>
          <w:i/>
        </w:rPr>
        <w:t xml:space="preserve">et al.</w:t>
      </w:r>
      <w:r>
        <w:t xml:space="preserve">,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 The DNA sequence of the internal standard follows.</w:t>
      </w:r>
    </w:p>
    <w:p>
      <w:pPr>
        <w:pStyle w:val="Heading3"/>
      </w:pPr>
      <w:bookmarkStart w:id="25" w:name="dna-sequence-of-internal-standard"/>
      <w:bookmarkEnd w:id="25"/>
      <w:r>
        <w:t xml:space="preserve">DNA Sequence of Internal standard</w:t>
      </w:r>
    </w:p>
    <w:p>
      <w:pPr>
        <w:pStyle w:val="FirstParagraph"/>
      </w:pPr>
      <w:r>
        <w:t xml:space="preserve">GGGTATTTTAACTTTACTAAGGAGAATTCATCATGGCAGAAATCGGTACTGGCTTTCCATTCGACCCCCATTATGTGGAAGTCCTGGGCGAGCGCATGCACTACGTCGATGTTGGTCCGCGCGATGGCACCCCTGTGCTGTTCCTGCACGGTAACCCGACCTCCTCCTACGTGTGGCGCAACATCATCCCGCATGTTGCACCGACCCATCGCTGCATTGCTCCAGACCTGATCGGTATGGGCAAATCCGACAAACCAGACCTGGGTTATTTCTTCGACGACCACGTCCGCTTCATGGATGCCTTCATCGAAGCCCTGGGTCTGGAAGAGGTCGTCCTGGTCATTCACGACTGGGGCTCCGCTCTGGGTTTCCACTGGGCCAAGCGCAATCCAGAGCGCGTCAAAGGTATTGCATTTATGGAGTTCATCCGCCCTATCCCGACCTGGGACGAATGGCCAGAATTTGCCCGCGAGACCTTCCAGGCCTTCCGCACCACCGACGTCGGCCGCAAGCTGATCATCGATCAGAACGTTTTTATCGAGGGTACGCTGCCGATGGGTGTCGTCCGCCCGCTGACTGAAGTCGAGATGGACCATTACCGCGAGCCGTTCCTGAATCCTGTTGACCGCGAGCCACTGTGGCGCTTCCCAAACGAGCTGCCAATCGCCGGTGAGCCAGCGAACATCGTCGCGCTGGTCGAAGAATACATGGACTGGCTGCACCAGTCCCCTGTCCCGAAGCTGCTGTTCTGGGGCACCCCAGGCGTTCTGATCCCACCGGCCGAAGCCGCTCGCCTGGCCAAAAGCCTGCCTAACTGCAAGGCTGTGGACATCGGCCCGGGTCTGAATCTGCTGCAAGAAGACAACCCGGACCTGATCGGCAGCGAGATCGCGCGCTGGCTGTCGACGCTCGAGATTTCCGGCGAGCCAACCACTGAGGATCTGTACTTTCAGAGCGATAACGCGATCGC</w:t>
      </w:r>
    </w:p>
    <w:p>
      <w:pPr>
        <w:pStyle w:val="Heading2"/>
      </w:pPr>
      <w:bookmarkStart w:id="26" w:name="metabolic-network-reconstruction-and-reverse-ecology"/>
      <w:bookmarkEnd w:id="26"/>
      <w:r>
        <w:t xml:space="preserve">Metabolic Network Reconstruction and Reverse Ecology</w:t>
      </w:r>
    </w:p>
    <w:p>
      <w:pPr>
        <w:pStyle w:val="Heading3"/>
      </w:pPr>
      <w:bookmarkStart w:id="27" w:name="genome-annotation-and-model-processing"/>
      <w:bookmarkEnd w:id="27"/>
      <w:r>
        <w:t xml:space="preserve">Genome Annotation and Model Processing</w:t>
      </w:r>
    </w:p>
    <w:p>
      <w:pPr>
        <w:pStyle w:val="FirstParagraph"/>
      </w:pPr>
      <w:r>
        <w:t xml:space="preserve">Genome annotations and metabolic network reconstructions were performed using KBase (http://kbase.us/). Metabolic models were then downloaded, converted to metabolic network graphs, and pruned. Figure S1 illustrates this process for a simple genome containing only the glycolytic reactions.</w:t>
      </w:r>
    </w:p>
    <w:p>
      <w:pPr>
        <w:pStyle w:val="Heading2"/>
      </w:pPr>
      <w:bookmarkStart w:id="28" w:name="computation-and-evaluation-of-potential-seed-compounds"/>
      <w:bookmarkEnd w:id="28"/>
      <w:r>
        <w:t xml:space="preserve">Computation and Evaluation of Potential Seed Compounds</w:t>
      </w:r>
    </w:p>
    <w:p>
      <w:pPr>
        <w:pStyle w:val="FirstParagraph"/>
      </w:pPr>
      <w:r>
        <w:t xml:space="preserve">Metabolic network reconstructions for the individual acI genomes contained between 110 and 339 genes, encoding between 241 and 587 reactions which interconvert between 374 and 699 metabolites (Table S5). On average, these genes account for 25% of the genes in the genome, a value consistent with metabolic network reconstructions for other organisms</w:t>
      </w:r>
      <w:r>
        <w:t xml:space="preserve"> </w:t>
      </w:r>
      <w:r>
        <w:t xml:space="preserve">(see Supplementary Table 2 in Feist</w:t>
      </w:r>
      <w:r>
        <w:t xml:space="preserve"> </w:t>
      </w:r>
      <w:r>
        <w:rPr>
          <w:i/>
        </w:rPr>
        <w:t xml:space="preserve">et al.</w:t>
      </w:r>
      <w:r>
        <w:t xml:space="preserve">, 2009)</w:t>
      </w:r>
      <w:r>
        <w:t xml:space="preserve">. Clade-level composite metabolic network graphs were considerably larger, with between 602 and 811 metabolites (Table S6).</w:t>
      </w:r>
    </w:p>
    <w:p>
      <w:pPr>
        <w:pStyle w:val="BodyText"/>
      </w:pPr>
      <w:r>
        <w:t xml:space="preserve">These composite metabolic network graphs contained a large number of disconnected components (groups of nodes that are not connected to the bulk of the network, Figure S3). For simplicity, these components were dropped from the graph, and seed compounds were computed for the single largest component. In all cases, the single largest component contained at least 80% of the nodes in the original graph (Table S6).</w:t>
      </w:r>
    </w:p>
    <w:p>
      <w:pPr>
        <w:pStyle w:val="BodyText"/>
      </w:pPr>
      <w:r>
        <w:t xml:space="preserve">Decomposition of the three metabolic network graphs into their SCCs resulted in a bow-tie structure, in which a single giant component contains a substantial fraction of the compounds (Figure S3). Across the three clades, the giant component contained 61% of the metabolites, a substantially larger fraction than reported for other organisms</w:t>
      </w:r>
      <w:r>
        <w:t xml:space="preserve"> </w:t>
      </w:r>
      <w:r>
        <w:t xml:space="preserve">(Ma and Zeng, 2003)</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S6). This discrepancy arises because some seed sets contain multiple compounds (an example is discussed below) (Table S7). However, such seed sets were rare (4% of all seed sets), and contained at most six compounds (Table S7). The majority of seed compounds (96%) belonged to seed sets containing only a single compound (Table S7). A total of 125 unique seed compounds were identified across the three clades, and a complete list can be found in Table S8.</w:t>
      </w:r>
    </w:p>
    <w:p>
      <w:pPr>
        <w:pStyle w:val="Heading1"/>
      </w:pPr>
      <w:bookmarkStart w:id="29" w:name="supplementary-results-and-discussion"/>
      <w:bookmarkEnd w:id="29"/>
      <w:r>
        <w:t xml:space="preserve">Supplementary Results and Discussion</w:t>
      </w:r>
    </w:p>
    <w:p>
      <w:pPr>
        <w:pStyle w:val="Heading2"/>
      </w:pPr>
      <w:bookmarkStart w:id="30" w:name="evaluation-of-potential-seed-compounds"/>
      <w:bookmarkEnd w:id="30"/>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Here, we present a series of brief vignettes explaining why compounds were retained or discarded based on their biological (im)plausibility. For biologically plausible compounds, we also provide examples of manual curation efforts.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SourceCode"/>
      </w:pPr>
      <w:r>
        <w:rPr>
          <w:rStyle w:val="VerbatimChar"/>
        </w:rPr>
        <w:t xml:space="preserve">2 ATP + L-glutamine + hydrogen carbonate + H2O → L-glutamate + carbamoyl phosphate + 2 ADP + phosphate + 2 H+</w:t>
      </w:r>
    </w:p>
    <w:p>
      <w:pPr>
        <w:pStyle w:val="FirstParagraph"/>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It is highly likely that manual curation will reveal complete fatty acid and phospholipid biosynthesis pathways, so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SourceCode"/>
      </w:pPr>
      <w:r>
        <w:rPr>
          <w:rStyle w:val="VerbatimChar"/>
        </w:rPr>
        <w:t xml:space="preserve">homoserine dehydrogenase: L-aspartate-4-semialdehyde &lt;--&gt; L-homoserine</w:t>
      </w:r>
      <w:r>
        <w:br w:type="textWrapping"/>
      </w:r>
      <w:r>
        <w:rPr>
          <w:rStyle w:val="VerbatimChar"/>
        </w:rPr>
        <w:t xml:space="preserve"/>
      </w:r>
      <w:r>
        <w:br w:type="textWrapping"/>
      </w:r>
      <w:r>
        <w:rPr>
          <w:rStyle w:val="VerbatimChar"/>
        </w:rPr>
        <w:t xml:space="preserve">homoserine kinase: L-homoserine &lt;--&gt; O-phospho-L-homoserine</w:t>
      </w:r>
    </w:p>
    <w:p>
      <w:pPr>
        <w:pStyle w:val="FirstParagraph"/>
      </w:pPr>
      <w:r>
        <w:t xml:space="preserve">making the three compounds the vertices of a strongly connected component. The first reaction, homoserine dehydrogenase, is the final step in homoserine biosynthesis, so these compounds suggest an auxotrophy for homoserine. Homoserine biosynthesis proceeds via the following reactions:</w:t>
      </w:r>
    </w:p>
    <w:p>
      <w:pPr>
        <w:pStyle w:val="SourceCode"/>
      </w:pPr>
      <w:r>
        <w:rPr>
          <w:rStyle w:val="VerbatimChar"/>
        </w:rPr>
        <w:t xml:space="preserve">aspartate kinase: aspartate --&gt; L-aspartyl-4-phosphate</w:t>
      </w:r>
      <w:r>
        <w:br w:type="textWrapping"/>
      </w:r>
      <w:r>
        <w:rPr>
          <w:rStyle w:val="VerbatimChar"/>
        </w:rPr>
        <w:t xml:space="preserve"/>
      </w:r>
      <w:r>
        <w:br w:type="textWrapping"/>
      </w:r>
      <w:r>
        <w:rPr>
          <w:rStyle w:val="VerbatimChar"/>
        </w:rPr>
        <w:t xml:space="preserve">aspartate semialdehyde dehydrogenase: L-aspartyl-4-phosphate --&gt; L-aspartate-4-semialdehyde</w:t>
      </w:r>
      <w:r>
        <w:br w:type="textWrapping"/>
      </w:r>
      <w:r>
        <w:rPr>
          <w:rStyle w:val="VerbatimChar"/>
        </w:rPr>
        <w:t xml:space="preserve"/>
      </w:r>
      <w:r>
        <w:br w:type="textWrapping"/>
      </w:r>
      <w:r>
        <w:rPr>
          <w:rStyle w:val="VerbatimChar"/>
        </w:rPr>
        <w:t xml:space="preserve">homoserine dehydrogenase: L-aspartate-4-semialdehyde --&gt; homoserine</w:t>
      </w:r>
    </w:p>
    <w:p>
      <w:pPr>
        <w:pStyle w:val="FirstParagraph"/>
      </w:pPr>
      <w:r>
        <w:t xml:space="preserve">The presence of LaAspartate-4-semialdehyde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SourceCode"/>
      </w:pPr>
      <w:r>
        <w:rPr>
          <w:rStyle w:val="VerbatimChar"/>
        </w:rPr>
        <w:t xml:space="preserve">chorismate mutase: chorismate --&gt; prephenate</w:t>
      </w:r>
      <w:r>
        <w:br w:type="textWrapping"/>
      </w:r>
      <w:r>
        <w:rPr>
          <w:rStyle w:val="VerbatimChar"/>
        </w:rPr>
        <w:t xml:space="preserve">prephenate aminotransferase: prephanate --&gt; L-arogenate</w:t>
      </w:r>
      <w:r>
        <w:br w:type="textWrapping"/>
      </w:r>
      <w:r>
        <w:rPr>
          <w:rStyle w:val="VerbatimChar"/>
        </w:rPr>
        <w:t xml:space="preserve">arogenate dehydrogenase: L-arogenate --&gt; L-tyrosine</w:t>
      </w:r>
    </w:p>
    <w:p>
      <w:pPr>
        <w:pStyle w:val="FirstParagraph"/>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SourceCode"/>
      </w:pPr>
      <w:r>
        <w:rPr>
          <w:rStyle w:val="VerbatimChar"/>
        </w:rPr>
        <w:t xml:space="preserve">chorismate mutase: chorismate --&gt; prephenate</w:t>
      </w:r>
      <w:r>
        <w:br w:type="textWrapping"/>
      </w:r>
      <w:r>
        <w:rPr>
          <w:rStyle w:val="VerbatimChar"/>
        </w:rPr>
        <w:t xml:space="preserve">prephenate dehydrogenase: prephenate --&gt; 4-hydroxyphenylpyruvate</w:t>
      </w:r>
      <w:r>
        <w:br w:type="textWrapping"/>
      </w:r>
      <w:r>
        <w:rPr>
          <w:rStyle w:val="VerbatimChar"/>
        </w:rPr>
        <w:t xml:space="preserve">tyrosine aminotransferase: 4-hydroxyphenylpyruvate --&gt; L-tyrosine</w:t>
      </w:r>
    </w:p>
    <w:p>
      <w:pPr>
        <w:pStyle w:val="FirstParagraph"/>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SourceCode"/>
      </w:pPr>
      <w:r>
        <w:rPr>
          <w:rStyle w:val="VerbatimChar"/>
        </w:rPr>
        <w:t xml:space="preserve">H2O + Ala-Leu --&gt; L-Leucine + L-Alanine</w:t>
      </w:r>
      <w:r>
        <w:br w:type="textWrapping"/>
      </w:r>
      <w:r>
        <w:rPr>
          <w:rStyle w:val="VerbatimChar"/>
        </w:rPr>
        <w:t xml:space="preserve">H2O + Gly-Pro --&gt; Glycine + L-Proline</w:t>
      </w:r>
    </w:p>
    <w:p>
      <w:pPr>
        <w:pStyle w:val="FirstParagraph"/>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below.</w:t>
      </w:r>
    </w:p>
    <w:p>
      <w:pPr>
        <w:pStyle w:val="Heading1"/>
      </w:pPr>
      <w:bookmarkStart w:id="31" w:name="references"/>
      <w:bookmarkEnd w:id="31"/>
      <w:r>
        <w:t xml:space="preserve">References</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Butler J, MacCallum I, Kleber M, Shlyakhter IA, Belmonte MK, Lander ES</w:t>
      </w:r>
      <w:r>
        <w:t xml:space="preserve"> </w:t>
      </w:r>
      <w:r>
        <w:rPr>
          <w:i/>
        </w:rPr>
        <w:t xml:space="preserve">et al.</w:t>
      </w:r>
      <w:r>
        <w:t xml:space="preserve"> </w:t>
      </w:r>
      <w:r>
        <w:t xml:space="preserve">(2008). ALLPATHS: De novo assembly of whole-genome shotgun microreads.</w:t>
      </w:r>
      <w:r>
        <w:t xml:space="preserve"> </w:t>
      </w:r>
      <w:r>
        <w:rPr>
          <w:i/>
        </w:rPr>
        <w:t xml:space="preserve">Genome Research</w:t>
      </w:r>
      <w:r>
        <w:t xml:space="preserve"> </w:t>
      </w:r>
      <w:r>
        <w:rPr>
          <w:b/>
        </w:rPr>
        <w:t xml:space="preserve">18</w:t>
      </w:r>
      <w:r>
        <w:t xml:space="preserve">: 810–820.</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Kang DD, Froula J, Egan R, Wang Z. (2015). MetaBAT, an efficient tool for accurately reconstructing single genomes from complex microbial communities.</w:t>
      </w:r>
      <w:r>
        <w:t xml:space="preserve"> </w:t>
      </w:r>
      <w:r>
        <w:rPr>
          <w:i/>
        </w:rPr>
        <w:t xml:space="preserve">PeerJ</w:t>
      </w:r>
      <w:r>
        <w:t xml:space="preserve"> </w:t>
      </w:r>
      <w:r>
        <w:rPr>
          <w:b/>
        </w:rPr>
        <w:t xml:space="preserve">3</w:t>
      </w:r>
      <w:r>
        <w:t xml:space="preserve">: e1165.</w:t>
      </w:r>
    </w:p>
    <w:p>
      <w:pPr>
        <w:pStyle w:val="Bibliography"/>
      </w:pPr>
      <w:r>
        <w:t xml:space="preserve">Ludwig W, Strunk O, Westram R, Richter L, Meier H, Yadhukumar</w:t>
      </w:r>
      <w:r>
        <w:t xml:space="preserve"> </w:t>
      </w:r>
      <w:r>
        <w:rPr>
          <w:i/>
        </w:rPr>
        <w:t xml:space="preserve">et al.</w:t>
      </w:r>
      <w:r>
        <w:t xml:space="preserve"> </w:t>
      </w:r>
      <w:r>
        <w:t xml:space="preserve">(2004). ARB: a software environment for sequence data.</w:t>
      </w:r>
      <w:r>
        <w:t xml:space="preserve"> </w:t>
      </w:r>
      <w:r>
        <w:rPr>
          <w:i/>
        </w:rPr>
        <w:t xml:space="preserve">Nucleic Acids Research</w:t>
      </w:r>
      <w:r>
        <w:t xml:space="preserve"> </w:t>
      </w:r>
      <w:r>
        <w:rPr>
          <w:b/>
        </w:rPr>
        <w:t xml:space="preserve">32</w:t>
      </w:r>
      <w:r>
        <w:t xml:space="preserve">: 1363–1371.</w:t>
      </w:r>
    </w:p>
    <w:p>
      <w:pPr>
        <w:pStyle w:val="Bibliography"/>
      </w:pPr>
      <w:r>
        <w:t xml:space="preserve">Luo R, Liu B, Xie Y, Li Z, Huang W, Yuan J</w:t>
      </w:r>
      <w:r>
        <w:t xml:space="preserve"> </w:t>
      </w:r>
      <w:r>
        <w:rPr>
          <w:i/>
        </w:rPr>
        <w:t xml:space="preserve">et al.</w:t>
      </w:r>
      <w:r>
        <w:t xml:space="preserve"> </w:t>
      </w:r>
      <w:r>
        <w:t xml:space="preserve">(2012). SOAPdenovo2: an empirically improved memory-efficient short-read de novo assembler.</w:t>
      </w:r>
      <w:r>
        <w:t xml:space="preserve"> </w:t>
      </w:r>
      <w:r>
        <w:rPr>
          <w:i/>
        </w:rPr>
        <w:t xml:space="preserve">GigaScience</w:t>
      </w:r>
      <w:r>
        <w:t xml:space="preserve"> </w:t>
      </w:r>
      <w:r>
        <w:rPr>
          <w:b/>
        </w:rPr>
        <w:t xml:space="preserve">1</w:t>
      </w:r>
      <w:r>
        <w:t xml:space="preserve">: 18.</w:t>
      </w:r>
    </w:p>
    <w:p>
      <w:pPr>
        <w:pStyle w:val="Bibliography"/>
      </w:pPr>
      <w:r>
        <w:t xml:space="preserve">Ma HW, Zeng A-P. (2003). The connectivity structure, giant strong component and centrality of metabolic networks.</w:t>
      </w:r>
      <w:r>
        <w:t xml:space="preserve"> </w:t>
      </w:r>
      <w:r>
        <w:rPr>
          <w:i/>
        </w:rPr>
        <w:t xml:space="preserve">Bioinformatics</w:t>
      </w:r>
      <w:r>
        <w:t xml:space="preserve"> </w:t>
      </w:r>
      <w:r>
        <w:rPr>
          <w:b/>
        </w:rPr>
        <w:t xml:space="preserve">19</w:t>
      </w:r>
      <w:r>
        <w:t xml:space="preserve">: 1423–1430.</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Richardson EJ, Watson M. (2013). The automatic annotation of bacterial genomes.</w:t>
      </w:r>
      <w:r>
        <w:t xml:space="preserve"> </w:t>
      </w:r>
      <w:r>
        <w:rPr>
          <w:i/>
        </w:rPr>
        <w:t xml:space="preserve">Briefings in Bioinformatics</w:t>
      </w:r>
      <w:r>
        <w:t xml:space="preserve"> </w:t>
      </w:r>
      <w:r>
        <w:rPr>
          <w:b/>
        </w:rPr>
        <w:t xml:space="preserve">14</w:t>
      </w:r>
      <w:r>
        <w:t xml:space="preserve">: 1–12.</w:t>
      </w:r>
    </w:p>
    <w:p>
      <w:pPr>
        <w:pStyle w:val="Bibliography"/>
      </w:pPr>
      <w:r>
        <w:t xml:space="preserve">Satinsky BM, Zielinski BL, Doherty M, Smith CB, Sharma S, Paul JH</w:t>
      </w:r>
      <w:r>
        <w:t xml:space="preserve"> </w:t>
      </w:r>
      <w:r>
        <w:rPr>
          <w:i/>
        </w:rPr>
        <w:t xml:space="preserve">et al.</w:t>
      </w:r>
      <w:r>
        <w:t xml:space="preserve"> </w:t>
      </w:r>
      <w:r>
        <w:t xml:space="preserve">(2014). The Amazon continuum dataset: quantitative metagenomic and metatranscriptomic inventories of the Amazon River plume, June 2010.</w:t>
      </w:r>
      <w:r>
        <w:t xml:space="preserve"> </w:t>
      </w:r>
      <w:r>
        <w:rPr>
          <w:i/>
        </w:rPr>
        <w:t xml:space="preserve">Microbiome</w:t>
      </w:r>
      <w:r>
        <w:t xml:space="preserve"> </w:t>
      </w:r>
      <w:r>
        <w:rPr>
          <w:b/>
        </w:rPr>
        <w:t xml:space="preserve">2</w:t>
      </w:r>
      <w:r>
        <w:t xml:space="preserve">: 17.</w:t>
      </w:r>
    </w:p>
    <w:p>
      <w:pPr>
        <w:pStyle w:val="Bibliography"/>
      </w:pPr>
      <w:r>
        <w:t xml:space="preserve">Sommer DD, Delcher AL, Salzberg SL, Pop M. (2007). Minimus: a fast, lightweight genome assembler.</w:t>
      </w:r>
      <w:r>
        <w:t xml:space="preserve"> </w:t>
      </w:r>
      <w:r>
        <w:rPr>
          <w:i/>
        </w:rPr>
        <w:t xml:space="preserve">BMC Bioinformatics</w:t>
      </w:r>
      <w:r>
        <w:t xml:space="preserve"> </w:t>
      </w:r>
      <w:r>
        <w:rPr>
          <w:b/>
        </w:rPr>
        <w:t xml:space="preserve">8</w:t>
      </w:r>
      <w:r>
        <w:t xml:space="preserve">: 64.</w:t>
      </w:r>
    </w:p>
    <w:p>
      <w:pPr>
        <w:pStyle w:val="Bibliography"/>
      </w:pPr>
      <w:r>
        <w:t xml:space="preserve">Zerbino DR, Birney E. (2008). Velvet: Algorithms for de novo short read assembly using de Bruijn graphs.</w:t>
      </w:r>
      <w:r>
        <w:t xml:space="preserve"> </w:t>
      </w:r>
      <w:r>
        <w:rPr>
          <w:i/>
        </w:rPr>
        <w:t xml:space="preserve">Genome Research</w:t>
      </w:r>
      <w:r>
        <w:t xml:space="preserve"> </w:t>
      </w:r>
      <w:r>
        <w:rPr>
          <w:b/>
        </w:rPr>
        <w:t xml:space="preserve">18</w:t>
      </w:r>
      <w:r>
        <w:t xml:space="preserve">: 821–829.</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845b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Supplmentary Material for Metabolic Network Analysis and Metatranscriptomics of a Cosmopolitan and Streamlined Freshwater Lineage</dc:title>
  <dc:creator>Joshua J. Hamilton1,*, TBD, and Katherine D. McMahon1,2,*</dc:creator>
</cp:coreProperties>
</file>