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FirstParagraph"/>
      </w:pPr>
      <w:r>
        <w:t xml:space="preserve"> </w:t>
      </w:r>
    </w:p>
    <w:p>
      <w:pPr>
        <w:pStyle w:val="Heading2"/>
      </w:pPr>
      <w:bookmarkStart w:id="21" w:name="figure-1-figuresfig1-treefigure1.pdf"/>
      <w:bookmarkEnd w:id="21"/>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(1)</w:t>
      </w:r>
      <w:r>
        <w:t xml:space="preserve"> </w:t>
      </w:r>
      <w:r>
        <w:t xml:space="preserve">from a concatenated alignment of protein sequences from 37 single-copy marker genes</w:t>
      </w:r>
      <w:r>
        <w:t xml:space="preserve"> </w:t>
      </w:r>
      <w:r>
        <w:t xml:space="preserve">(2)</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(3)</w:t>
      </w:r>
      <w:r>
        <w:t xml:space="preserve">. SAGs are indicated with italic text. Supplemental Figure S1 shows the position of the acI lineage relative to other orders within the class Actinobacteria.</w:t>
      </w:r>
    </w:p>
    <w:p>
      <w:pPr>
        <w:pStyle w:val="BodyText"/>
      </w:pPr>
      <w:r>
        <w:t xml:space="preserve"> </w:t>
      </w:r>
    </w:p>
    <w:p>
      <w:pPr>
        <w:pStyle w:val="Heading2"/>
      </w:pPr>
      <w:bookmarkStart w:id="22" w:name="figure-2-figuresfig2-workflowfigure2.pdf"/>
      <w:bookmarkEnd w:id="22"/>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3">
        <w:r>
          <w:rPr>
            <w:rStyle w:val="Hyperlink"/>
          </w:rPr>
          <w:t xml:space="preserve">BBMap</w:t>
        </w:r>
      </w:hyperlink>
      <w:r>
        <w:t xml:space="preserve">. Orthologous gene clusters are identified using OrthoMCL</w:t>
      </w:r>
      <w:r>
        <w:t xml:space="preserve"> </w:t>
      </w:r>
      <w:r>
        <w:t xml:space="preserve">(4)</w:t>
      </w:r>
      <w:r>
        <w:t xml:space="preserve">. For each cluster, unique reads which map to any gene within that cluster are counted using HTSeq</w:t>
      </w:r>
      <w:r>
        <w:t xml:space="preserve"> </w:t>
      </w:r>
      <w:r>
        <w:t xml:space="preserve">(5)</w:t>
      </w:r>
      <w:r>
        <w:t xml:space="preserve">. The relative gene expression is computed using RPKM</w:t>
      </w:r>
      <w:r>
        <w:t xml:space="preserve"> </w:t>
      </w:r>
      <w:r>
        <w:t xml:space="preserve">(6)</w:t>
      </w:r>
      <w:r>
        <w:t xml:space="preserve">.</w:t>
      </w:r>
    </w:p>
    <w:p>
      <w:pPr>
        <w:pStyle w:val="BodyText"/>
      </w:pPr>
      <w:r>
        <w:t xml:space="preserve"> </w:t>
      </w:r>
    </w:p>
    <w:p>
      <w:pPr>
        <w:pStyle w:val="Heading2"/>
      </w:pPr>
      <w:bookmarkStart w:id="24" w:name="figure-3-figuresfig3-seedsfigure3.pdf"/>
      <w:bookmarkEnd w:id="24"/>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5" w:name="figure-4-figuresfig4-transportersfigure4.pdf"/>
      <w:bookmarkEnd w:id="25"/>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RPKM of the encoding gene cluster. For multi-subunit transporters, the RPKM of the substrate-binding subunit was chosen (Table S12).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2"/>
      </w:pPr>
      <w:bookmarkStart w:id="26" w:name="supplementary-figure-1-figuresfig1-treefigures1.pdf"/>
      <w:bookmarkEnd w:id="26"/>
      <w:r>
        <w:t xml:space="preserve">Supplementary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(7)</w:t>
      </w:r>
      <w:r>
        <w:t xml:space="preserve"> </w:t>
      </w:r>
      <w:r>
        <w:t xml:space="preserve">(Table S18). The tree was built using RAxML</w:t>
      </w:r>
      <w:r>
        <w:t xml:space="preserve"> </w:t>
      </w:r>
      <w:r>
        <w:t xml:space="preserve">(1)</w:t>
      </w:r>
      <w:r>
        <w:t xml:space="preserve"> </w:t>
      </w:r>
      <w:r>
        <w:t xml:space="preserve">from a concatenated alignment of protein sequences from 37 single-copy marker genes</w:t>
      </w:r>
      <w:r>
        <w:t xml:space="preserve"> </w:t>
      </w:r>
      <w:r>
        <w:t xml:space="preserve">(2)</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(3)</w:t>
      </w:r>
      <w:r>
        <w:t xml:space="preserve">. SAGs are indicated with italic text.</w:t>
      </w:r>
    </w:p>
    <w:p>
      <w:pPr>
        <w:pStyle w:val="BodyText"/>
      </w:pPr>
      <w:r>
        <w:t xml:space="preserve"> </w:t>
      </w:r>
    </w:p>
    <w:p>
      <w:pPr>
        <w:pStyle w:val="Heading2"/>
      </w:pPr>
      <w:bookmarkStart w:id="27" w:name="supplementary-figure-2-figuresfigs-samplingfigures1.pdf"/>
      <w:bookmarkEnd w:id="27"/>
      <w:r>
        <w:t xml:space="preserve">Supplementary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(8)</w:t>
      </w:r>
      <w:r>
        <w:t xml:space="preserve">. Error bars represent the 95% confidence interval estimated from 1000 iterations.</w:t>
      </w:r>
    </w:p>
    <w:p>
      <w:pPr>
        <w:pStyle w:val="BodyText"/>
      </w:pPr>
      <w:r>
        <w:t xml:space="preserve"> </w:t>
      </w:r>
    </w:p>
    <w:p>
      <w:pPr>
        <w:pStyle w:val="Heading2"/>
      </w:pPr>
      <w:bookmarkStart w:id="28" w:name="supplementary-figure-3-figuresfig2-workflowfigures3.pdf"/>
      <w:bookmarkEnd w:id="28"/>
      <w:r>
        <w:t xml:space="preserve">Supplementary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(9)</w:t>
      </w:r>
      <w:r>
        <w:t xml:space="preserve">.</w:t>
      </w:r>
    </w:p>
    <w:p>
      <w:pPr>
        <w:pStyle w:val="BodyText"/>
      </w:pPr>
      <w:r>
        <w:t xml:space="preserve"> </w:t>
      </w:r>
    </w:p>
    <w:p>
      <w:pPr>
        <w:pStyle w:val="Heading2"/>
      </w:pPr>
      <w:bookmarkStart w:id="29" w:name="supplementary-figure-4-figuresfig2-workflowfigures4.pdf"/>
      <w:bookmarkEnd w:id="29"/>
      <w:r>
        <w:t xml:space="preserve">Supplementary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30" w:name="supplementary-figure-5-figuresfig2-workflowfigures5.pdf"/>
      <w:bookmarkEnd w:id="30"/>
      <w:r>
        <w:t xml:space="preserve">Supplementary Figure 5 (figures/fig2-workflow/FigureS5.pdf)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1" w:name="supplementary-figure-6-figuresfig2-workflowfigures6.pdf"/>
      <w:bookmarkEnd w:id="31"/>
      <w:r>
        <w:t xml:space="preserve">Supplementary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1. Stamatakis A. 2014. RAxML version 8: a tool for phylogenetic analysis and post-analysis of large phylogenies. Bioinformatics 30:1312–1313.</w:t>
      </w:r>
    </w:p>
    <w:p>
      <w:pPr>
        <w:pStyle w:val="Bibliography"/>
      </w:pPr>
      <w:r>
        <w:t xml:space="preserve">2. Darling AE, Jospin G, Lowe E, Matsen FA, Bik HM, Eisen JA. 2014. PhyloSift: phylogenetic analysis of genomes and metagenomes. PeerJ 2:e243.</w:t>
      </w:r>
    </w:p>
    <w:p>
      <w:pPr>
        <w:pStyle w:val="Bibliography"/>
      </w:pPr>
      <w:r>
        <w:t xml:space="preserve">3. Newton RJ, Jones SE, Eiler A, McMahon KD, Bertilsson S. 2011. A guide to the natural history of freshwater lake bacteria. Microbiology and Molecular Biology Reviews 75:14–49.</w:t>
      </w:r>
    </w:p>
    <w:p>
      <w:pPr>
        <w:pStyle w:val="Bibliography"/>
      </w:pPr>
      <w:r>
        <w:t xml:space="preserve">4. Li L, Stoeckert CJ, Roos DS. 2003. OrthoMCL: identification of ortholog groups for eukaryotic genomes. Genome Research 13:2178–89.</w:t>
      </w:r>
    </w:p>
    <w:p>
      <w:pPr>
        <w:pStyle w:val="Bibliography"/>
      </w:pPr>
      <w:r>
        <w:t xml:space="preserve">5. Anders S, Pyl PT, Huber W. 2014. HTSeq A Python framework to work with high-throughput sequencing data. Bioinformatics 31:166–169.</w:t>
      </w:r>
    </w:p>
    <w:p>
      <w:pPr>
        <w:pStyle w:val="Bibliography"/>
      </w:pPr>
      <w:r>
        <w:t xml:space="preserve">6. Mortazavi A, Williams BA, McCue K, Schaeffer L, Wold B. 2008. Mapping and quantifying mammalian transcriptomes by RNA-Seq. Nature Methods 5:621–628.</w:t>
      </w:r>
    </w:p>
    <w:p>
      <w:pPr>
        <w:pStyle w:val="Bibliography"/>
      </w:pPr>
      <w:r>
        <w:t xml:space="preserve">7. Gao B, Gupta RS. 2012. Phylogenetic Framework and Molecular Signatures for the Main Clades of the Phylum Actinobacteria. Microbiology and Molecular Biology Reviews 76:66–112.</w:t>
      </w:r>
    </w:p>
    <w:p>
      <w:pPr>
        <w:pStyle w:val="Bibliography"/>
      </w:pPr>
      <w:r>
        <w:t xml:space="preserve">8. Parks DH, Imelfort M, Skennerton CT, Hugenholtz P, Tyson GW. 2015. CheckM: assessing the quality of microbial genomes recovered from isolates, single cells, and metagenomes. Genome Research 25:1043–1055.</w:t>
      </w:r>
    </w:p>
    <w:p>
      <w:pPr>
        <w:pStyle w:val="Bibliography"/>
      </w:pPr>
      <w:r>
        <w:t xml:space="preserve">9.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f2b2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3"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3"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 for 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