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 et al. 2014)</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(Newton et al. 2011)</w:t>
      </w:r>
      <w:r>
        <w:t xml:space="preserve">. SAGs are indicated with italic text. Supplemental Figure S6 shows the position of the acI lineage relative to other orders within the class Actinobacteria.</w:t>
      </w:r>
    </w:p>
    <w:p>
      <w:pPr>
        <w:pStyle w:val="BodyText"/>
      </w:pPr>
      <w:r>
        <w:t xml:space="preserve"> </w:t>
      </w:r>
    </w:p>
    <w:p>
      <w:pPr>
        <w:pStyle w:val="Heading2"/>
      </w:pPr>
      <w:bookmarkStart w:id="22" w:name="figure-2-figuresfig3-workflowfigure3.pdf"/>
      <w:bookmarkEnd w:id="22"/>
      <w:r>
        <w:t xml:space="preserve">Figure 2 (figures/fig3-workflow/Figure3.pdf)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S1.</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S2, S3, and S4.</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3">
        <w:r>
          <w:rPr>
            <w:rStyle w:val="Hyperlink"/>
          </w:rPr>
          <w:t xml:space="preserve">BBMap</w:t>
        </w:r>
      </w:hyperlink>
      <w:r>
        <w:t xml:space="preserve">. Orthologous gene clusters are identified using OrthoMCL</w:t>
      </w:r>
      <w:r>
        <w:t xml:space="preserve"> </w:t>
      </w:r>
      <w:r>
        <w:t xml:space="preserve">(Li, Stoeckert, and Roos 2003)</w:t>
      </w:r>
      <w:r>
        <w:t xml:space="preserve">. For each cluster, unique reads which map to any gene within that cluster are counted using HTSeq</w:t>
      </w:r>
      <w:r>
        <w:t xml:space="preserve"> </w:t>
      </w:r>
      <w:r>
        <w:t xml:space="preserve">(Anders, Pyl, and Huber 2014)</w:t>
      </w:r>
      <w:r>
        <w:t xml:space="preserve">. The relative gene expression is computed using RPKM</w:t>
      </w:r>
      <w:r>
        <w:t xml:space="preserve"> </w:t>
      </w:r>
      <w:r>
        <w:t xml:space="preserve">(Mortazavi et al. 2008)</w:t>
      </w:r>
      <w:r>
        <w:t xml:space="preserve">.</w:t>
      </w:r>
    </w:p>
    <w:p>
      <w:pPr>
        <w:pStyle w:val="BodyText"/>
      </w:pPr>
      <w:r>
        <w:t xml:space="preserve"> </w:t>
      </w:r>
    </w:p>
    <w:p>
      <w:pPr>
        <w:pStyle w:val="Heading2"/>
      </w:pPr>
      <w:bookmarkStart w:id="24" w:name="figure-3-figuresfig4-seedsfigure4.pdf"/>
      <w:bookmarkEnd w:id="24"/>
      <w:r>
        <w:t xml:space="preserve">Figure 3 (figures/fig4-seeds/Figure4.pdf)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5" w:name="figure-4-figuresfig5-transportersfigure5.pdf"/>
      <w:bookmarkEnd w:id="25"/>
      <w:r>
        <w:t xml:space="preserve">Figure 4 (figures/fig5-transporters/Figure5.pdf)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RPKM of the encoding gene cluster. For multi-subunit transporters, the RPKM of the substrate-binding subunit was chosen.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2"/>
      </w:pPr>
      <w:bookmarkStart w:id="26" w:name="supplementary-figure-1-figuresfig3-workflowfigures1.pdf"/>
      <w:bookmarkEnd w:id="26"/>
      <w:r>
        <w:t xml:space="preserve">Supplementary Figure 1 (figures/fig3-workflow/FigureS1.pdf)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w:t>
      </w:r>
    </w:p>
    <w:p>
      <w:pPr>
        <w:pStyle w:val="BodyText"/>
      </w:pPr>
      <w:r>
        <w:t xml:space="preserve"> </w:t>
      </w:r>
    </w:p>
    <w:p>
      <w:pPr>
        <w:pStyle w:val="Heading2"/>
      </w:pPr>
      <w:bookmarkStart w:id="27" w:name="supplementary-figure-2-figuresfig3-workflowfigures2.pdf"/>
      <w:bookmarkEnd w:id="27"/>
      <w:r>
        <w:t xml:space="preserve">Supplementary Figure 2 (figures/fig3-workflow/FigureS2.pdf)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28" w:name="supplementary-figure-3-figuresfig3-workflowfigures3.pdf"/>
      <w:bookmarkEnd w:id="28"/>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29" w:name="supplementary-figure-4-figuresfig3-workflowfigures4.pdf"/>
      <w:bookmarkEnd w:id="29"/>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30" w:name="supplementary-figure-5-figuresfig2-samplingfigure2.pdf"/>
      <w:bookmarkEnd w:id="30"/>
      <w:r>
        <w:t xml:space="preserve">Supplementary Figure 5 (figures/fig2-sampling/Figure2.pdf)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(Parks et al. 2015)</w:t>
      </w:r>
      <w:r>
        <w:t xml:space="preserve">. Error bars represent the 95% confidence interval estimated from 1000 iterations.</w:t>
      </w:r>
    </w:p>
    <w:p>
      <w:pPr>
        <w:pStyle w:val="BodyText"/>
      </w:pPr>
      <w:r>
        <w:t xml:space="preserve"> </w:t>
      </w:r>
    </w:p>
    <w:p>
      <w:pPr>
        <w:pStyle w:val="Heading2"/>
      </w:pPr>
      <w:bookmarkStart w:id="31" w:name="supplementary-figure-6-figuresfig1-treefigures5.pdf"/>
      <w:bookmarkEnd w:id="31"/>
      <w:r>
        <w:t xml:space="preserve">Supplementary Figure 6 (figures/fig1-tree/FigureS5.pdf)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(Gao and Gupta 2012)</w:t>
      </w:r>
      <w:r>
        <w:t xml:space="preserve"> </w:t>
      </w:r>
      <w:r>
        <w:t xml:space="preserve">(Table S17).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 et al. 2014)</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(Newton et al. 2011)</w:t>
      </w:r>
      <w:r>
        <w:t xml:space="preserve">. SAGs are indicated with italic text.</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39">
        <w:r>
          <w:rPr>
            <w:rStyle w:val="Hyperlink"/>
          </w:rPr>
          <w:t xml:space="preserve">doi:10.1128/MMBR.00028-10</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40">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1">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a658c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9" Target="http://doi.org/10.1128/MMBR.00028-10"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3"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9" Target="http://doi.org/10.1128/MMBR.00028-10"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3"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 for Metabolic Network Analysis and Metatranscriptomics of a Cosmopolitan Freshwater Microbial Lineage</dc:title>
  <dc:creator>Joshua J. Hamilton1*, Sarahi L. Garcia^2, Brittany S. Brown^1, Ben O. Oyserman^3, Francisco Moya-Flores^3, Stefan Bertilsson^2,4, Rex R. Malmstrom^5, Katrina T. Forest^1, Katherine D. McMahon^1,3</dc:creator>
</cp:coreProperties>
</file>