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(1)</w:t>
      </w:r>
      <w:r>
        <w:t xml:space="preserve">,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mportance"/>
      <w:bookmarkEnd w:id="22"/>
      <w:r>
        <w:t xml:space="preserve">Importance</w:t>
      </w:r>
    </w:p>
    <w:p>
      <w:pPr>
        <w:pStyle w:val="FirstParagraph"/>
      </w:pPr>
      <w:r>
        <w:t xml:space="preserve">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 intensive metabolic reconstruction efforts, and also provide new hypotheses about the specific contributions microbes make to ecosystem-scale metabolic processes.</w:t>
      </w:r>
    </w:p>
    <w:p>
      <w:pPr>
        <w:pStyle w:val="Heading1"/>
      </w:pPr>
      <w:bookmarkStart w:id="23" w:name="introduction"/>
      <w:bookmarkEnd w:id="23"/>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(2, 3)</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(4)</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(5)</w:t>
      </w:r>
      <w:r>
        <w:t xml:space="preserve">, or a targeted search for genes involved in processes of interest</w:t>
      </w:r>
      <w:r>
        <w:t xml:space="preserve"> </w:t>
      </w:r>
      <w:r>
        <w:t xml:space="preserve">(6)</w:t>
      </w:r>
      <w:r>
        <w:t xml:space="preserve">. These reconstructions can then be analyzed manually or using computational approaches such as flux-balance analysis (FBA)</w:t>
      </w:r>
      <w:r>
        <w:t xml:space="preserve"> </w:t>
      </w:r>
      <w:r>
        <w:t xml:space="preserve">(7)</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(1)</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(8)</w:t>
      </w:r>
      <w:r>
        <w:t xml:space="preserve">. We apply this pipeline to a collection of 36 metagenome-assembled genomes (MAGs) and single-cell genomes (SAGs) from the abundant and ubiquitous freshwater bacterium acI, which is thought to have a central role in nutrient cycling in diverse freshwater systems</w:t>
      </w:r>
      <w:r>
        <w:t xml:space="preserve"> </w:t>
      </w:r>
      <w:r>
        <w:t xml:space="preserve">(9–18)</w:t>
      </w:r>
      <w:r>
        <w:t xml:space="preserve">. The seed compounds predicted by our analysis are in agreement with previous experimental and genomic observations</w:t>
      </w:r>
      <w:r>
        <w:t xml:space="preserve"> </w:t>
      </w:r>
      <w:r>
        <w:t xml:space="preserve">(19–27)</w:t>
      </w:r>
      <w:r>
        <w:t xml:space="preserve">, confirming the ability of our method to predict an organism’s auxotrophies and nutrient sources.</w:t>
      </w:r>
    </w:p>
    <w:p>
      <w:pPr>
        <w:pStyle w:val="BodyText"/>
      </w:pPr>
      <w:r>
        <w:t xml:space="preserve">In particular, we find that members of acI bacteria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4" w:name="results"/>
      <w:bookmarkEnd w:id="24"/>
      <w:r>
        <w:t xml:space="preserve">Results</w:t>
      </w:r>
    </w:p>
    <w:p>
      <w:pPr>
        <w:pStyle w:val="Heading2"/>
      </w:pPr>
      <w:bookmarkStart w:id="25" w:name="phylogenetic-affiliation-of-aci-genomes"/>
      <w:bookmarkEnd w:id="25"/>
      <w:r>
        <w:t xml:space="preserve">Phylogenetic Affiliation of acI Genomes</w:t>
      </w:r>
    </w:p>
    <w:p>
      <w:pPr>
        <w:pStyle w:val="FirstParagraph"/>
      </w:pPr>
      <w:r>
        <w:t xml:space="preserve">From a reference collection of freshwater bacterial genomes, we identified 17 SAGs and 19 MAGs from members of the acI lineage (Table 1). A phylogenetic tree of these genomes built using a concatenated alignment of single-copy marker genes is shown in Figure 1. Previous phylogenetic analyses using 16S rRNA gene sequences have revealed that the acI lineage can be grouped into three distinct monophyletic clades (acI-A, acI-B, and acI-C) and thirteen tribes</w:t>
      </w:r>
      <w:r>
        <w:t xml:space="preserve"> </w:t>
      </w:r>
      <w:r>
        <w:t xml:space="preserve">(28)</w:t>
      </w:r>
      <w:r>
        <w:t xml:space="preserve">. In this study, the phylogenetic tree also identified three monophyletic branches, enabling MAGs to be classified to clade and tribe level based on the taxonomy of SAGs within each branch (as determined by their 16S rRNA gene sequences). Note that three MAGs formed a monophyletic group separate from clades acI-A and acI-B; we assume these genomes belong to clade acI-C as no other acI clades have been identified to date.</w:t>
      </w:r>
    </w:p>
    <w:p>
      <w:pPr>
        <w:pStyle w:val="Heading2"/>
      </w:pPr>
      <w:bookmarkStart w:id="26" w:name="estimated-completeness-of-tribe--and-clade-level-composite-genomes"/>
      <w:bookmarkEnd w:id="26"/>
      <w:r>
        <w:t xml:space="preserve">Estimated Completeness of Tribe- and Clade-Level Composite Genomes</w:t>
      </w:r>
    </w:p>
    <w:p>
      <w:pPr>
        <w:pStyle w:val="FirstParagraph"/>
      </w:pPr>
      <w:r>
        <w:t xml:space="preserve">Using single-copy marker genes, we estimated the completeness of tribe- and clade-level composite genomes to determine the finest level of taxonomic resolution at which we could confidently compute seed compounds, using genome completeness as a proxy for metabolic reaction network completeness (Figure S2). We deemed genomes to be nearly complete if they contained 95% of the lineage-specific marker genes. With the exception of tribe acI-B1, tribe-level composite genomes are estimated to be incomplete (Figure S2A). At the clade level, clades acI-A and acI-B are estimated to be nearly complete, while the acI-C composite genome remains incomplete, as it only contains 75% of the 204 marker genes (Figure S2B). As a result, seed compounds were calculated for composite clade-level genomes, with the understanding that some true seed compounds for the acI-C clade will not be predicted.</w:t>
      </w:r>
    </w:p>
    <w:p>
      <w:pPr>
        <w:pStyle w:val="Heading2"/>
      </w:pPr>
      <w:bookmarkStart w:id="27" w:name="computation-and-evaluation-of-potential-seed-compounds"/>
      <w:bookmarkEnd w:id="27"/>
      <w:r>
        <w:t xml:space="preserve">Computation and Evaluation of Potential Seed Compounds</w:t>
      </w:r>
    </w:p>
    <w:p>
      <w:pPr>
        <w:pStyle w:val="FirstParagraph"/>
      </w:pPr>
      <w:r>
        <w:t xml:space="preserve">Metabolic network reconstructions for each genome were built using KBase. Composite metabolic network graphs were then constructed for each tribe and clade by merging metabolic network reconstructions of individual genomes. Seed compounds for each clade were then computed from that clade’s composite metabolic network graph using a custom implementation of the seed set framework (Figure 2). A total of 125 unique seed compounds were identified across the three clades (Table S1).</w:t>
      </w:r>
    </w:p>
    <w:p>
      <w:pPr>
        <w:pStyle w:val="BodyText"/>
      </w:pPr>
      <w:r>
        <w:t xml:space="preserve">Because KBase is an automated annotation pipeline, the predicted set of seed compounds is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Of 125 unique compounds, 31 (79%) were retained in the final set of proposed auxotrophies and nutrients. Tables S2 and S3 contain this final set of compounds for clades acI-A, acI-B, and acI-C, and Figure 3 shows the auxotrophies and nutrients these compounds represent.</w:t>
      </w:r>
    </w:p>
    <w:p>
      <w:pPr>
        <w:pStyle w:val="Heading2"/>
      </w:pPr>
      <w:bookmarkStart w:id="28" w:name="making-sense-of-seed-compounds-via-protein-clustering-and-metatranscriptomic-mapping"/>
      <w:bookmarkEnd w:id="28"/>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To test this, we collected and sequenced four metatranscriptome samples from Lake Mendota (Dane County, WI, USA).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mapped the metatranscriptome reads to clusters of orthologous groups (COGs) within each clade. We used OrthoMCL</w:t>
      </w:r>
      <w:r>
        <w:t xml:space="preserve"> </w:t>
      </w:r>
      <w:r>
        <w:t xml:space="preserve">(29)</w:t>
      </w:r>
      <w:r>
        <w:t xml:space="preserve"> </w:t>
      </w:r>
      <w:r>
        <w:t xml:space="preserve">to identify COGs in the set of acI genomes, and counted each COG as present in a clade if that COG was present in at least one genome belonging to that clade. We then used BBMap to map metatranscriptome reads to our reference genome collection, and calculated gene expression for each COG was computed on a Reads Per Kilobase Million (RPKM) basis (Figure 2).</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S4). After mapping the metatranscriptomes to our acI genomes, we calculated the average coverage of each genome in our reference collection. Within each clade, the most abundant genome was detected with at least 16-fold coverage (Table S5). OrthoMCL identified a total of 5013 protein clusters across the three clades (Table S6)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S7). Among expressed genes, the median log2 RPKM value was 31.1 in clade acI-A, 32.0 in clade acI-B, and 69.4 in clade acI-C.</w:t>
      </w:r>
    </w:p>
    <w:p>
      <w:pPr>
        <w:pStyle w:val="Heading2"/>
      </w:pPr>
      <w:bookmarkStart w:id="29" w:name="auxotrophies-and-nutrient-sources-of-the-aci-lineage"/>
      <w:bookmarkEnd w:id="29"/>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and Table S2). In all three clades, beta-alanine was identified as a seed compound, suggesting an auxotrophy for pantothenic acid (Vitamin B5), a precursor to coenzyme A formed from beta-alanine and pantoate (Table S8).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 (Table S8).</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(Table S8). This cofactor plays an important role in the metabolism of amino acids and vitamins. In turn, clade acI-B was predicted to be auxotrophic for adenosylcobalamin (Vitamin B12), containing only four reactions from its biosynthetic pathway (Table S8). Finally, acI-C was predicted to be auxotrophic for the nucleotide uridine monophosphate (UMP, used as a monomer in RNA synthesis) and the amino acids lysine and homoserine. In all cases multiple enzymes for the biosynthesis of these compounds were not found in the acI-C genomes (Table S8).</w:t>
      </w:r>
    </w:p>
    <w:p>
      <w:pPr>
        <w:pStyle w:val="BodyText"/>
      </w:pPr>
      <w:r>
        <w:t xml:space="preserve">A number of seed compounds were also predicted to be degraded by members of the acI lineage (Figure 3B and Table S3).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S9 and S10),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the median gene expression levels (Table S9). Clade acI-A expressed a third aminopeptidase at a lower level of 40% the median gene expression level (Table S9).</w:t>
      </w:r>
    </w:p>
    <w:p>
      <w:pPr>
        <w:pStyle w:val="BodyText"/>
      </w:pPr>
      <w:r>
        <w:t xml:space="preserve">All three clades were predicted to encode an alpha-glucosidase, which in Lake Mendota was only expressed in clades acI-B and acI-C, at upwards of 60% of the median gene expression level (Table S10). All three clades also encode a beta-glucosidase, but it was not expressed.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S10) in both clades acI-A and acI-C.</w:t>
      </w:r>
    </w:p>
    <w:p>
      <w:pPr>
        <w:pStyle w:val="Heading2"/>
      </w:pPr>
      <w:bookmarkStart w:id="30" w:name="compounds-transported-by-the-aci-lineage"/>
      <w:bookmarkEnd w:id="30"/>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S11 and S12, and the Supplemental Online Material).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S12). In contrast, while all clades expressed some genes from the polyamine transporters, only clade acI-B expressed the binding protein, at approximately 27.8 times the median (Table S12). Finally, clades acI-A and acI-B also contain a putative transporter for glycine betaine, which was only expressed in clade acI-A, at approximately 9.6 times the median (Table S12).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S12).</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S12). Clades acI-A and acI-B also contain a second potential purine/pyrimidine transporter (annotated as a cytosine/purine/uracil/thiamine/allantoin family permease), which was only expressed in clade acI-B (Table S12).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S12).</w:t>
      </w:r>
    </w:p>
    <w:p>
      <w:pPr>
        <w:pStyle w:val="BodyText"/>
      </w:pPr>
      <w:r>
        <w:t xml:space="preserve">Finally, all three clades expressed actinorhodopsin, a light-sensitive protein that functions as an proton efflux pump</w:t>
      </w:r>
      <w:r>
        <w:t xml:space="preserve"> </w:t>
      </w:r>
      <w:r>
        <w:t xml:space="preserve">(30)</w:t>
      </w:r>
      <w:r>
        <w:t xml:space="preserve">. In all clades, actinorhodopsin was among the top ten most highly-expressed genes (Table S6), with expression values in excess of 84 times the median in all three clades (Table S6).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1" w:name="materials-and-methods"/>
      <w:bookmarkEnd w:id="31"/>
      <w:r>
        <w:t xml:space="preserve">Materials and Methods</w:t>
      </w:r>
    </w:p>
    <w:p>
      <w:pPr>
        <w:pStyle w:val="Heading2"/>
      </w:pPr>
      <w:bookmarkStart w:id="32" w:name="a-freshwater-reference-genome-collection"/>
      <w:bookmarkEnd w:id="32"/>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(27, 31)</w:t>
      </w:r>
      <w:r>
        <w:t xml:space="preserve">, as well as SAGs from three lakes in the United States</w:t>
      </w:r>
      <w:r>
        <w:t xml:space="preserve"> </w:t>
      </w:r>
      <w:r>
        <w:t xml:space="preserve">(21)</w:t>
      </w:r>
      <w:r>
        <w:t xml:space="preserve">. Additional information about this genome collection can be found in the Supplemental Online Material.</w:t>
      </w:r>
    </w:p>
    <w:p>
      <w:pPr>
        <w:pStyle w:val="Heading2"/>
      </w:pPr>
      <w:bookmarkStart w:id="33" w:name="metatranscriptome-sampling-and-sequencing"/>
      <w:bookmarkEnd w:id="33"/>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Online Material. All protocols and scripts for sample collection, RNA extraction, rRNA depletion, sequencing, and bioinformatic analysis can be found on Github (https://github.com/McMahonLab/OMD-TOIL, DOI:######). Metadata for the four samples used in this study can be found in Table S5, and the raw RNA sequences can be found on the National Center for Biotechnology Information’s Sequence Read Archive (SRA) under BioProject PRJNA362825.</w:t>
      </w:r>
    </w:p>
    <w:p>
      <w:pPr>
        <w:pStyle w:val="Heading2"/>
      </w:pPr>
      <w:bookmarkStart w:id="34" w:name="identification-of-aci-sags-and-actinobacterial-mags"/>
      <w:bookmarkEnd w:id="34"/>
      <w:r>
        <w:t xml:space="preserve">Identification of acI SAGs and Actinobacterial MAGs</w:t>
      </w:r>
    </w:p>
    <w:p>
      <w:pPr>
        <w:pStyle w:val="FirstParagraph"/>
      </w:pPr>
      <w:r>
        <w:t xml:space="preserve">The acI have been phylogenetically divided into three clades (acI-A, acI-B, and acI-C) and thirteen tribes on the basis of their 16S rRNA gene sequences</w:t>
      </w:r>
      <w:r>
        <w:t xml:space="preserve"> </w:t>
      </w:r>
      <w:r>
        <w:t xml:space="preserve">(28)</w:t>
      </w:r>
      <w:r>
        <w:t xml:space="preserve">. acI SAGs were identified within a previously-published genome collection</w:t>
      </w:r>
      <w:r>
        <w:t xml:space="preserve"> </w:t>
      </w:r>
      <w:r>
        <w:t xml:space="preserve">(21)</w:t>
      </w:r>
      <w:r>
        <w:t xml:space="preserve"> </w:t>
      </w:r>
      <w:r>
        <w:t xml:space="preserve">and classified to the tribe level using partial 16S rRNA genes and a reference taxonomy for freshwater bacteria, as described in the Supplemental Online Material. Actinobacterial MAGs were identified within two metagenomic time-series</w:t>
      </w:r>
      <w:r>
        <w:t xml:space="preserve"> </w:t>
      </w:r>
      <w:r>
        <w:t xml:space="preserve">(27, 31)</w:t>
      </w:r>
      <w:r>
        <w:t xml:space="preserve"> </w:t>
      </w:r>
      <w:r>
        <w:t xml:space="preserve">using taxonomic assignments from a subset of conserved marker genes, as described in the Supplemental Online Material. Phylogenetic analysis of acI SAGs and Actinobacterial MAGs was performed using a concatenated alignment of single-copy marker genes obtained via Phylosift</w:t>
      </w:r>
      <w:r>
        <w:t xml:space="preserve"> </w:t>
      </w:r>
      <w:r>
        <w:t xml:space="preserve">(32)</w:t>
      </w:r>
      <w:r>
        <w:t xml:space="preserve">. Maximum likelihood trees were generated using RAxML</w:t>
      </w:r>
      <w:r>
        <w:t xml:space="preserve"> </w:t>
      </w:r>
      <w:r>
        <w:t xml:space="preserve">(33)</w:t>
      </w:r>
      <w:r>
        <w:t xml:space="preserve"> </w:t>
      </w:r>
      <w:r>
        <w:t xml:space="preserve">using the automatic protein model assignment option (PROTGAMMAAUTO) and 100 bootstraps.</w:t>
      </w:r>
    </w:p>
    <w:p>
      <w:pPr>
        <w:pStyle w:val="Heading2"/>
      </w:pPr>
      <w:bookmarkStart w:id="35" w:name="genome-annotation-metabolic-network-reconstruction-and-computation-and-evaluation-of-seed-compounds"/>
      <w:bookmarkEnd w:id="35"/>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(34)</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(35, 36)</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(37)</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S3 and Supplemental Online Material). Many of the individual acI genomes are incomplete. Therefore, composite metabolic network graphs were constructed for each tribe and clade, to increase the accuracy of seed identification by means of a more complete metabolic network (Figure S4 and Supplemental Online Material).</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(1)</w:t>
      </w:r>
      <w:r>
        <w:t xml:space="preserve">. Seed compounds for each composite metabolic network graph were calculated using a new Python implementation of the seed set framework</w:t>
      </w:r>
      <w:r>
        <w:t xml:space="preserve"> </w:t>
      </w:r>
      <w:r>
        <w:t xml:space="preserve">(1)</w:t>
      </w:r>
      <w:r>
        <w:t xml:space="preserve"> </w:t>
      </w:r>
      <w:r>
        <w:t xml:space="preserve">(Figure S5 and the Supplemental Online Material). Because seed compounds are computed from a metabolic network, it is important to manually evaluate all predicted seed compounds to identify those that may be biologically meaningful, and do not arise from errors in the metabolic network reconstruction.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w:t>
      </w:r>
    </w:p>
    <w:p>
      <w:pPr>
        <w:pStyle w:val="BodyText"/>
      </w:pPr>
      <w:r>
        <w:t xml:space="preserve">The Supplemental Online Material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w:t>
      </w:r>
    </w:p>
    <w:p>
      <w:pPr>
        <w:pStyle w:val="BodyText"/>
      </w:pPr>
      <w:r>
        <w:t xml:space="preserve">All computational steps were implemented using Python scripts, freely available as part of the reverseEcology Python package developed for this project (https://pypi.python.org/pypi/reverseEcology/, DOI:######).</w:t>
      </w:r>
    </w:p>
    <w:p>
      <w:pPr>
        <w:pStyle w:val="Heading2"/>
      </w:pPr>
      <w:bookmarkStart w:id="36" w:name="identification-of-transported-compounds"/>
      <w:bookmarkEnd w:id="36"/>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(38)</w:t>
      </w:r>
      <w:r>
        <w:t xml:space="preserve">, substrates for each transporter are described as putative and acting on molecular classes (e.g., saccharide, amino acid, etc) instead of specific compounds, to better reflect the promiscuity of transport proteins and the ambiguity of their annotation.</w:t>
      </w:r>
    </w:p>
    <w:p>
      <w:pPr>
        <w:pStyle w:val="Heading2"/>
      </w:pPr>
      <w:bookmarkStart w:id="37" w:name="protein-clustering-metatranscriptomic-mapping-and-clade-level-gene-expression"/>
      <w:bookmarkEnd w:id="37"/>
      <w:r>
        <w:t xml:space="preserve">Protein Clustering, Metatranscriptomic Mapping, and Clade-Level Gene Expression</w:t>
      </w:r>
    </w:p>
    <w:p>
      <w:pPr>
        <w:pStyle w:val="FirstParagraph"/>
      </w:pPr>
      <w:r>
        <w:t xml:space="preserve">OrthoMCL</w:t>
      </w:r>
      <w:r>
        <w:t xml:space="preserve"> </w:t>
      </w:r>
      <w:r>
        <w:t xml:space="preserve">(29)</w:t>
      </w:r>
      <w:r>
        <w:t xml:space="preserve"> </w:t>
      </w:r>
      <w:r>
        <w:t xml:space="preserve">was used to identify clusters of orthologous groups (COGs) in the set of acI genomes. Both OrthoMCL and BLAST were run using default options</w:t>
      </w:r>
      <w:r>
        <w:t xml:space="preserve"> </w:t>
      </w:r>
      <w:r>
        <w:t xml:space="preserve">(39)</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(https://sourceforge.net/projects/bbmap/)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(40)</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(41)</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(42)</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38" w:name="availability-of-data-and-materials"/>
      <w:bookmarkEnd w:id="38"/>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39" w:name="discussion"/>
      <w:bookmarkEnd w:id="39"/>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Our predictions of substrate use capabilities of the acI lineage are largely congruent with previous genome-based studies based on smaller but manually curated genome collections</w:t>
      </w:r>
      <w:r>
        <w:t xml:space="preserve"> </w:t>
      </w:r>
      <w:r>
        <w:t xml:space="preserve">(22, 25, 27)</w:t>
      </w:r>
      <w:r>
        <w:t xml:space="preserve">, indicating that the use of automatic metabolic network reconstructions yields similar predictions to manual metabolic reconstruction efforts, while being both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and CARD-FISH studies that confirm the ability of acI bacteria to consume a variety of amino acids</w:t>
      </w:r>
      <w:r>
        <w:t xml:space="preserve"> </w:t>
      </w:r>
      <w:r>
        <w:t xml:space="preserve">(20, 23)</w:t>
      </w:r>
      <w:r>
        <w:t xml:space="preserve">. Furthermore, the presence of alpha- and beta-glucosidases are consistent with observations that acI bacteria consume glucose</w:t>
      </w:r>
      <w:r>
        <w:t xml:space="preserve"> </w:t>
      </w:r>
      <w:r>
        <w:t xml:space="preserve">(19, 23)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(43–45)</w:t>
      </w:r>
      <w:r>
        <w:t xml:space="preserve">, the deoxynucleoside thymidine</w:t>
      </w:r>
      <w:r>
        <w:t xml:space="preserve"> </w:t>
      </w:r>
      <w:r>
        <w:t xml:space="preserve">(23, 46)</w:t>
      </w:r>
      <w:r>
        <w:t xml:space="preserve">, and acetate</w:t>
      </w:r>
      <w:r>
        <w:t xml:space="preserve"> </w:t>
      </w:r>
      <w:r>
        <w:t xml:space="preserve">(19)</w:t>
      </w:r>
      <w:r>
        <w:t xml:space="preserve">, and the potential to hydrolyze the cyanobacterial peptide cyanophycin via the enzyme cyanophycinase</w:t>
      </w:r>
      <w:r>
        <w:t xml:space="preserve"> </w:t>
      </w:r>
      <w:r>
        <w:t xml:space="preserve">(22, 25)</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(38)</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(47, 48)</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40" w:name="conclusions"/>
      <w:bookmarkEnd w:id="40"/>
      <w:r>
        <w:t xml:space="preserve">Conclusions</w:t>
      </w:r>
    </w:p>
    <w:p>
      <w:pPr>
        <w:pStyle w:val="FirstParagraph"/>
      </w:pPr>
      <w:r>
        <w:t xml:space="preserve">In this study, we examined the metabolism of uncultivated acI bacteria using automatic metabolic network reconstructions and the seed set framework combined with metatranscriptomics. Predicted seed compounds include peptides and saccharides, many of which acI have been observed to consume</w:t>
      </w:r>
      <w:r>
        <w:t xml:space="preserve"> </w:t>
      </w:r>
      <w:r>
        <w:rPr>
          <w:i/>
        </w:rPr>
        <w:t xml:space="preserve">in situ</w:t>
      </w:r>
      <w:r>
        <w:t xml:space="preserve">, as well as newly predicted auxotrophies for vitamins and amino acids. Metatranscriptomic analysis in a lake with abundant acI members suggests many of these compounds are consumed by acI bacteria in their natural environment. Our computational approach easily scales to 100s of genomes, and enables a focused metabolic analysis by identifying those compounds through which an organism interacts with its environment. Finally, the seed set framework enables additional metabolic network-based analyses, which have the potential to predict the interactions among microbial species in complex environments</w:t>
      </w:r>
      <w:r>
        <w:t xml:space="preserve"> </w:t>
      </w:r>
      <w:r>
        <w:t xml:space="preserve">(49)</w:t>
      </w:r>
      <w:r>
        <w:t xml:space="preserve">.</w:t>
      </w:r>
    </w:p>
    <w:p>
      <w:pPr>
        <w:pStyle w:val="Heading1"/>
      </w:pPr>
      <w:bookmarkStart w:id="41" w:name="acknowledgements"/>
      <w:bookmarkEnd w:id="41"/>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 The funders had no role in study design, daa collection and interpretation, or the decision to submit the work for publication.</w:t>
      </w:r>
    </w:p>
    <w:p>
      <w:pPr>
        <w:pStyle w:val="Heading1"/>
      </w:pPr>
      <w:bookmarkStart w:id="42" w:name="conflict-of-interest"/>
      <w:bookmarkEnd w:id="42"/>
      <w:r>
        <w:t xml:space="preserve">Conflict of Interest</w:t>
      </w:r>
    </w:p>
    <w:p>
      <w:pPr>
        <w:pStyle w:val="FirstParagraph"/>
      </w:pPr>
      <w:r>
        <w:t xml:space="preserve">The authors declare no conflict of interest.</w:t>
      </w:r>
    </w:p>
    <w:p>
      <w:pPr>
        <w:pStyle w:val="Heading1"/>
      </w:pPr>
      <w:bookmarkStart w:id="43" w:name="references"/>
      <w:bookmarkEnd w:id="43"/>
      <w:r>
        <w:t xml:space="preserve">References</w:t>
      </w:r>
    </w:p>
    <w:p>
      <w:pPr>
        <w:pStyle w:val="Bibliography"/>
      </w:pPr>
      <w:r>
        <w:t xml:space="preserve">1. Borenstein E, Kupiec M, Feldman MW, Ruppin E. 2008. Large-scale reconstruction and phylogenetic analysis of metabolic environments. Proceedings of the National Academy of Sciences 105:14482–14487.</w:t>
      </w:r>
    </w:p>
    <w:p>
      <w:pPr>
        <w:pStyle w:val="Bibliography"/>
      </w:pPr>
      <w:r>
        <w:t xml:space="preserve">2. Falkowski PG, Fenchel T, Delong EF. 2008. The microbial engines that drive Earth’s biogeochemical cycles. Science 320:1034–1039.</w:t>
      </w:r>
    </w:p>
    <w:p>
      <w:pPr>
        <w:pStyle w:val="Bibliography"/>
      </w:pPr>
      <w:r>
        <w:t xml:space="preserve">3. Blaser MJ, Cardon ZG, Cho MK, Dangl JL, Donohue TJ, Green JL, Knight R, Editor S, Maxon ME, Northen TR, Pollard KS, Editor S. 2016. Toward a Predictive Understanding of Earth’s Microbiomes to Address 21st Century Challenges. mBio 7:e00074–16.</w:t>
      </w:r>
    </w:p>
    <w:p>
      <w:pPr>
        <w:pStyle w:val="Bibliography"/>
      </w:pPr>
      <w:r>
        <w:t xml:space="preserve">4. Sangwan N, Xia F, Gilbert JA. 2016. Recovering complete and draft population genomes from metagenome datasets. Microbiome 4:8.</w:t>
      </w:r>
    </w:p>
    <w:p>
      <w:pPr>
        <w:pStyle w:val="Bibliography"/>
      </w:pPr>
      <w:r>
        <w:t xml:space="preserve">5. Lawson CE, Wu S, Bhattacharjee AS, Hamilton JJ, Mcmahon KD, Goel R, Noguera DR. 2017. Metabolic network analysis reveals microbial community interactions in anammox granules. Nature Communications 8:15416.</w:t>
      </w:r>
    </w:p>
    <w:p>
      <w:pPr>
        <w:pStyle w:val="Bibliography"/>
      </w:pPr>
      <w:r>
        <w:t xml:space="preserve">6. Anantharaman K, Brown CT, Hug LA, Sharon I, Castelle CJ, Probst AJ, Thomas BC, Singh A, Wilkins MJ, Karaoz U, Brodie EL, Williams KH, Hubbard SS, Banfield JF. 2016. Thousands of microbial genomes shed light on interconnected biogeochemical processes in an aquifer system. Nature Communications 7:13219.</w:t>
      </w:r>
    </w:p>
    <w:p>
      <w:pPr>
        <w:pStyle w:val="Bibliography"/>
      </w:pPr>
      <w:r>
        <w:t xml:space="preserve">7. Orth JD, Thiele I, Palsson BØ. 2010. What is flux balance analysis? Nature Biotechnology 28:245–248.</w:t>
      </w:r>
    </w:p>
    <w:p>
      <w:pPr>
        <w:pStyle w:val="Bibliography"/>
      </w:pPr>
      <w:r>
        <w:t xml:space="preserve">8. Arkin AP, Stevens RL, Cottingham RW, Maslov S, Henry CS, Dehal P, Ware D, Perez F, Harris NL, Canon S, Sneddon MW, Henderson ML, Riehl WJ, Gunter D, Mur D, Yoo S. 2016. The DOE Systems Biology Knowledgebase (KBase). bioRxiv.</w:t>
      </w:r>
    </w:p>
    <w:p>
      <w:pPr>
        <w:pStyle w:val="Bibliography"/>
      </w:pPr>
      <w:r>
        <w:t xml:space="preserve">9. Zwart G, Hiorns WD, Methé BA, Agterveld MP van, Huismans R, Nold SC, Zehr JP, Laanbroek HJ. 1998. Nearly Identical 16S rRNA Sequences Recovered from Lakes in North America and Europe Indicate the Existence of Clades of Globally Distributed Freshwater Bacteria. Systematic and Applied Microbiology 21:546–556.</w:t>
      </w:r>
    </w:p>
    <w:p>
      <w:pPr>
        <w:pStyle w:val="Bibliography"/>
      </w:pPr>
      <w:r>
        <w:t xml:space="preserve">10. Glockner FO, Zaichikov E, Belkova N, Denissova L, Pernthaler J, Pernthaler A, Amann R. 2000. Comparative 16S rRNA analysis of lake bacterioplankton reveals globally distributed phylogenetic clusters including an abundant group of actinobacteria. Applied and Environmental Microbiology 66:5053–5065.</w:t>
      </w:r>
    </w:p>
    <w:p>
      <w:pPr>
        <w:pStyle w:val="Bibliography"/>
      </w:pPr>
      <w:r>
        <w:t xml:space="preserve">11. Zwart G, Crump BC, Kamst-van Agterveld MP, Hagen F, Han SK. 2002. Typical freshwater bacteria: An analysis of available 16S rRNA gene sequences from plankton of lakes and rivers. Aquatic Microbial Ecology 28:141–155.</w:t>
      </w:r>
    </w:p>
    <w:p>
      <w:pPr>
        <w:pStyle w:val="Bibliography"/>
      </w:pPr>
      <w:r>
        <w:t xml:space="preserve">12. Newton RJ, Kent AD, Triplett EW, McMahon KD. 2006. Microbial community dynamics in a humic lake: Differential persistence of common freshwater phylotypes. Environmental Microbiology 8:956–970.</w:t>
      </w:r>
    </w:p>
    <w:p>
      <w:pPr>
        <w:pStyle w:val="Bibliography"/>
      </w:pPr>
      <w:r>
        <w:t xml:space="preserve">13. Wu QL, Zwart G, Schauer M, Kamst-Van Agterveld MP, Hahn MW. 2006. Bacterioplankton community composition along a salinity gradient of sixteen high-mountain lakes located on the Tibetan Plateau, China. Applied and Environmental Microbiology 72:5478–5485.</w:t>
      </w:r>
    </w:p>
    <w:p>
      <w:pPr>
        <w:pStyle w:val="Bibliography"/>
      </w:pPr>
      <w:r>
        <w:t xml:space="preserve">14. Newton RJ, Jones SE, Helmus MR, McMahon KD. 2007. Phylogenetic ecology of the freshwater Actinobacteria acI lineage. Applied and Environmental Microbiology 73:7169–7176.</w:t>
      </w:r>
    </w:p>
    <w:p>
      <w:pPr>
        <w:pStyle w:val="Bibliography"/>
      </w:pPr>
      <w:r>
        <w:t xml:space="preserve">15. Wu X, Xi W, Ye W, Yang H. 2007. Bacterial community composition of a shallow hypertrophic freshwater lake in China, revealed by 16S rRNA gene sequences. FEMS Microbiology Ecology 61:85–96.</w:t>
      </w:r>
    </w:p>
    <w:p>
      <w:pPr>
        <w:pStyle w:val="Bibliography"/>
      </w:pPr>
      <w:r>
        <w:t xml:space="preserve">16. De Wever A, Van Der Gucht K, Muylaert K, Cousin S, Vyverman W. 2008. Clone library analysis reveals an unusual composition and strong habitat partitioning of pelagic bacterial communities in Lake Tanganyika. Aquatic Microbial Ecology 50:113–122.</w:t>
      </w:r>
    </w:p>
    <w:p>
      <w:pPr>
        <w:pStyle w:val="Bibliography"/>
      </w:pPr>
      <w:r>
        <w:t xml:space="preserve">17. Humbert JF, Dorigo U, Cecchi P, Le Berre B, Debroas D, Bouvy M. 2009. Comparison of the structure and composition of bacterial communities from temperate and tropical freshwater ecosystems. Environmental Microbiology 11:2339–2350.</w:t>
      </w:r>
    </w:p>
    <w:p>
      <w:pPr>
        <w:pStyle w:val="Bibliography"/>
      </w:pPr>
      <w:r>
        <w:t xml:space="preserve">18. Ghai R, McMahon KD, Rodriguez-Valera F. 2012. Breaking a paradigm: cosmopolitan and abundant freshwater actinobacteria are low GC. Environmental Microbiology Reports 4:29–35.</w:t>
      </w:r>
    </w:p>
    <w:p>
      <w:pPr>
        <w:pStyle w:val="Bibliography"/>
      </w:pPr>
      <w:r>
        <w:t xml:space="preserve">19. Buck U, Grossart H-P, Amann RI, Pernthaler J. 2009. Substrate incorporation patterns of bacterioplankton populations in stratified and mixed waters of a humic lake. Environmental Microbiology 11:1854–1865.</w:t>
      </w:r>
    </w:p>
    <w:p>
      <w:pPr>
        <w:pStyle w:val="Bibliography"/>
      </w:pPr>
      <w:r>
        <w:t xml:space="preserve">20. Salcher MM, Pernthaler J, Posch T. 2010. Spatiotemporal distribution and activity patterns of bacteria from three phylogenetic groups in an oligomesotrophic lake. Limnology and Oceanography 55:846–856.</w:t>
      </w:r>
    </w:p>
    <w:p>
      <w:pPr>
        <w:pStyle w:val="Bibliography"/>
      </w:pPr>
      <w:r>
        <w:t xml:space="preserve">21.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23. Salcher MM, Posch T, Pernthaler J. 2013. In situ substrate preferences of abundant bacterioplankton populations in a prealpine freshwater lake. The ISME Journal 7:896–907.</w:t>
      </w:r>
    </w:p>
    <w:p>
      <w:pPr>
        <w:pStyle w:val="Bibliography"/>
      </w:pPr>
      <w:r>
        <w:t xml:space="preserve">24. Ghai R, Mizuno CM, Picazo A, Camacho A, Rodriguez-Valera F. 2014. Key roles for freshwater Actinobacteria revealed by deep metagenomic sequencing. Molecular Ecology 23:6073–6090.</w:t>
      </w:r>
    </w:p>
    <w:p>
      <w:pPr>
        <w:pStyle w:val="Bibliography"/>
      </w:pPr>
      <w:r>
        <w:t xml:space="preserve">25.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26. Tsementzi D, Poretsky RS, Rodriguez-R LM, Luo C, Konstantinidis KT. 2014. Evaluation of metatranscriptomic protocols and application to the study of freshwater microbial communities. Environmental Microbiology Reports 6:640–655.</w:t>
      </w:r>
    </w:p>
    <w:p>
      <w:pPr>
        <w:pStyle w:val="Bibliography"/>
      </w:pPr>
      <w:r>
        <w:t xml:space="preserve">27. Garcia SL, Buck M, McMahon KD, Grossart H-P, Eiler A, Warnecke F. 2015. Auxotrophy and intra-population complementary in the ‘interactome’ of a cultivated freshwater model community. Molecular Ecology 24:4449–4459.</w:t>
      </w:r>
    </w:p>
    <w:p>
      <w:pPr>
        <w:pStyle w:val="Bibliography"/>
      </w:pPr>
      <w:r>
        <w:t xml:space="preserve">28. Newton RJ, Jones SE, Eiler A, McMahon KD, Bertilsson S. 2011. A guide to the natural history of freshwater lake bacteria. Microbiology and Molecular Biology Reviews 75:14–49.</w:t>
      </w:r>
    </w:p>
    <w:p>
      <w:pPr>
        <w:pStyle w:val="Bibliography"/>
      </w:pPr>
      <w:r>
        <w:t xml:space="preserve">29. Li L, Stoeckert CJ, Roos DS. 2003. OrthoMCL: identification of ortholog groups for eukaryotic genomes. Genome Research 13:2178–89.</w:t>
      </w:r>
    </w:p>
    <w:p>
      <w:pPr>
        <w:pStyle w:val="Bibliography"/>
      </w:pPr>
      <w:r>
        <w:t xml:space="preserve">30. Sharma AK, Zhaxybayeva O, Papke RT, Doolittle WF. 2008. Actinorhodopsins: Proteorhodopsin-like gene sequences found predominantly in non-marine environments. Environmental Microbiology 10:1039–1056.</w:t>
      </w:r>
    </w:p>
    <w:p>
      <w:pPr>
        <w:pStyle w:val="Bibliography"/>
      </w:pPr>
      <w:r>
        <w:t xml:space="preserve">31.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32. Darling AE, Jospin G, Lowe E, Matsen FA, Bik HM, Eisen JA. 2014. PhyloSift: phylogenetic analysis of genomes and metagenomes. PeerJ 2:e243.</w:t>
      </w:r>
    </w:p>
    <w:p>
      <w:pPr>
        <w:pStyle w:val="Bibliography"/>
      </w:pPr>
      <w:r>
        <w:t xml:space="preserve">33. Stamatakis A. 2014. RAxML version 8: a tool for phylogenetic analysis and post-analysis of large phylogenies. Bioinformatics 30:1312–1313.</w:t>
      </w:r>
    </w:p>
    <w:p>
      <w:pPr>
        <w:pStyle w:val="Bibliography"/>
      </w:pPr>
      <w:r>
        <w:t xml:space="preserve">34. Jeong H, Tombor B, Albert R, Oltvai ZN, Barabási A-L, Database I. 2000. The large-scale organization of metabolic networks. Nature 407:651–654.</w:t>
      </w:r>
    </w:p>
    <w:p>
      <w:pPr>
        <w:pStyle w:val="Bibliography"/>
      </w:pPr>
      <w:r>
        <w:t xml:space="preserve">35.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36.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37. Henry CS, DeJongh M, Best AA, Frybarger PM, Linsay B, Stevens RL. 2010. High-throughput generation, optimization and analysis of genome-scale metabolic models. Nature Biotechnology 28:977–982.</w:t>
      </w:r>
    </w:p>
    <w:p>
      <w:pPr>
        <w:pStyle w:val="Bibliography"/>
      </w:pPr>
      <w:r>
        <w:t xml:space="preserve">38. Saier MH, Reddy VS, Tamang DG, Västermark Å. 2014. The transporter classification database. Nucleic Acids Research 42:D251–D258.</w:t>
      </w:r>
    </w:p>
    <w:p>
      <w:pPr>
        <w:pStyle w:val="Bibliography"/>
      </w:pPr>
      <w:r>
        <w:t xml:space="preserve">39. Fischer S, Brunk BP, Chen F, Gao X, Harb OS, Iodice JB, Shanmugam D, Roos DS, Stoeckert CJ. 2011. Using OrthoMCL to assign proteins to OrthoMCL-DB groups or to cluster proteomes into new ortholog groups. Current Protocols in Bioinformatics Supplement:6.12.1.6–12.19.</w:t>
      </w:r>
    </w:p>
    <w:p>
      <w:pPr>
        <w:pStyle w:val="Bibliography"/>
      </w:pPr>
      <w:r>
        <w:t xml:space="preserve">40. Konstantinidis KT, Tiedje JM. 2005. Genomic insights that advance the species definition for prokaryotes. Proceedings of the National Academy of Sciences 102:2567–2572.</w:t>
      </w:r>
    </w:p>
    <w:p>
      <w:pPr>
        <w:pStyle w:val="Bibliography"/>
      </w:pPr>
      <w:r>
        <w:t xml:space="preserve">41. Anders S, Pyl PT, Huber W. 2014. HTSeq A Python framework to work with high-throughput sequencing data. Bioinformatics 31:166–169.</w:t>
      </w:r>
    </w:p>
    <w:p>
      <w:pPr>
        <w:pStyle w:val="Bibliography"/>
      </w:pPr>
      <w:r>
        <w:t xml:space="preserve">42. Mortazavi A, Williams BA, McCue K, Schaeffer L, Wold B. 2008. Mapping and quantifying mammalian transcriptomes by RNA-Seq. Nature Methods 5:621–628.</w:t>
      </w:r>
    </w:p>
    <w:p>
      <w:pPr>
        <w:pStyle w:val="Bibliography"/>
      </w:pPr>
      <w:r>
        <w:t xml:space="preserve">43. Beier S, Bertilsson S. 2011. Uncoupling of chitinase activity and uptake of hydrolysis products in freshwater bacterioplankton. Limnology and Oceanography 56:1179–1188.</w:t>
      </w:r>
    </w:p>
    <w:p>
      <w:pPr>
        <w:pStyle w:val="Bibliography"/>
      </w:pPr>
      <w:r>
        <w:t xml:space="preserve">44. Eckert EM, Salcher MM, Posch T, Eugster B, Pernthaler J. 2012. Rapid successions affect microbial N-acetyl-glucosamine uptake patterns during a lacustrine spring phytoplankton bloom. Environmental Microbiology 14:794–806.</w:t>
      </w:r>
    </w:p>
    <w:p>
      <w:pPr>
        <w:pStyle w:val="Bibliography"/>
      </w:pPr>
      <w:r>
        <w:t xml:space="preserve">45. Eckert EM, Baumgartner M, Huber IM, Pernthaler J. 2013. Grazing resistant freshwater bacteria profit from chitin and cell-wall-derived organic carbon. Environmental Microbiology 15:2019–2030.</w:t>
      </w:r>
    </w:p>
    <w:p>
      <w:pPr>
        <w:pStyle w:val="Bibliography"/>
      </w:pPr>
      <w:r>
        <w:t xml:space="preserve">46. Pérez MT, Hörtnagl P, Sommaruga R. 2010. Contrasting ability to take up leucine and thymidine among freshwater bacterial groups: Implications for bacterial production measurements. Environmental Microbiology 12:74–82.</w:t>
      </w:r>
    </w:p>
    <w:p>
      <w:pPr>
        <w:pStyle w:val="Bibliography"/>
      </w:pPr>
      <w:r>
        <w:t xml:space="preserve">47. Garcia SL. 2016. Mixed cultures as model communities: hunting for ubiquitous microorganisms, their partners, and interactions. Aquatic Microbial Ecology 77:79–85.</w:t>
      </w:r>
    </w:p>
    <w:p>
      <w:pPr>
        <w:pStyle w:val="Bibliography"/>
      </w:pPr>
      <w:r>
        <w:t xml:space="preserve">48. Garcia SL, Buck M, Hamilton JJ, Wurzbacher C, Rosenblad MA, McMaho KD, Grossart H-P, Warnecke F, Eiler A. 2017. Model communities hint to promiscuous metabolic linkages between ubiquitous free-living freshwater bacteria. bioRxiv.</w:t>
      </w:r>
    </w:p>
    <w:p>
      <w:pPr>
        <w:pStyle w:val="Bibliography"/>
      </w:pPr>
      <w:r>
        <w:t xml:space="preserve">49. Levy R, Borenstein E. 2012. Reverse Ecology: From Systems to Environments and Back. Advances in Experimental Medicine and Biology 751:329–345.</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83f64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