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(1)</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(2, 3)</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(4)</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(5)</w:t>
      </w:r>
      <w:r>
        <w:t xml:space="preserve">, or a targeted search for genes involved in processes of interest</w:t>
      </w:r>
      <w:r>
        <w:t xml:space="preserve"> </w:t>
      </w:r>
      <w:r>
        <w:t xml:space="preserve">(6)</w:t>
      </w:r>
      <w:r>
        <w:t xml:space="preserve">. These reconstructions can then be analyzed manually or using computational approaches such as flux-balance analysis (FBA)</w:t>
      </w:r>
      <w:r>
        <w:t xml:space="preserve"> </w:t>
      </w:r>
      <w:r>
        <w:t xml:space="preserve">(7)</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(1)</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Actinobacterial lineage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the acI lineage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We identified 17 SAGs and 19 MAGs from members of the acI lineage (Table S1 in Supplemental Dataset S1) in a larger set of reference genomes derived from our long-term study sites. A phylogenetic tree of these genomes built using a concatenated alignment of single-copy marker genes is shown in Figure 1. Previous phylogenetic analyses using 16S rRNA gene sequences showed that the acI lineage can be grouped into three distinct monophyletic clades (acI-A, acI-B, and acI-C) and thirteen so-called</w:t>
      </w:r>
      <w:r>
        <w:t xml:space="preserve"> </w:t>
      </w:r>
      <w:r>
        <w:t xml:space="preserve">“</w:t>
      </w:r>
      <w:r>
        <w:t xml:space="preserve">tribes</w:t>
      </w:r>
      <w:r>
        <w:t xml:space="preserve">”</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16S rRNA gene sequences, either PCR amplified or assembled from the single cell).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We constructed composite genomes from multiple SAGs and/or MAGs, to partially alleviate limitations presented by incomplete genomes. To do this, we first estimated the completeness of tribe- and clade-level composite genomes using CheckM</w:t>
      </w:r>
      <w:r>
        <w:t xml:space="preserve"> </w:t>
      </w:r>
      <w:r>
        <w:t xml:space="preserve">(29)</w:t>
      </w:r>
      <w:r>
        <w:t xml:space="preserve">, which uses lineage-specific marker genes organized into collocated sets to obtain a robust estimate of genome completeness. This allowed us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S2 in Supplemental Dataset S1).</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S3 and S4 in Supplemental Dataset S1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used OrthoMCL</w:t>
      </w:r>
      <w:r>
        <w:t xml:space="preserve"> </w:t>
      </w:r>
      <w:r>
        <w:t xml:space="preserve">(30)</w:t>
      </w:r>
      <w:r>
        <w:t xml:space="preserve"> </w:t>
      </w:r>
      <w:r>
        <w:t xml:space="preserve">to identify COGs in the set of acI genomes, merged metatranscriptome reads from all four samples, and mapped the reads to clusters of orthologous groups (COGs) within each clade.</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S5 in Supplemental Dataset S1). We then used BBMap (https://sourceforge.net/projects/bbmap/) to map metatranscriptome reads to our reference genome collection. After mapping the metatranscriptomes to our acI genomes, we calculated the average coverage of each genome in our reference collection. Within each clade, the most abundant genome was detected with at least 16-fold coverage (Table S6 in Supplemental Dataset S1).</w:t>
      </w:r>
    </w:p>
    <w:p>
      <w:pPr>
        <w:pStyle w:val="BodyText"/>
      </w:pPr>
      <w:r>
        <w:t xml:space="preserve">Finally, we calculated gene expression for each COG on a Reads Per Kilobase Million (RPKM) basis (Figure 2). OrthoMCL identified a total of 5013 protein clusters across the three clades (Table S7 in Supplemental Dataset S1)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S8 in Supplemental Dataset S1). Among expressed genes, the median log2 RPKM value was 31.1 in clade acI-A, 32.0 in clade acI-B, and 69.4 in clade acI-C. Due to differing RPKM values in each clade, we report gene expression values for each clade as relative to the median for that clade.</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S3 in Supplemental Dataset S1). In all three clades, beta-alanine was identified as a seed compound, suggesting an auxotrophy for pantothenic acid (Vitamin B5), a precursor to coenzyme A formed from beta-alanine and pantoate (Table S9 in Supplemental Dataset S1).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S9 in Supplemental Dataset S1).</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S9 in Supplemental Dataset S1). This cofactor plays an important role in the metabolism of amino acids and vitamins. In turn, clade acI-B was predicted to be auxotrophic for adenosylcobalamin (Vitamin B12), containing only four reactions from its biosynthetic pathway (Table S9 in Supplemental Dataset S1).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S9 in Supplemental Dataset S1).</w:t>
      </w:r>
    </w:p>
    <w:p>
      <w:pPr>
        <w:pStyle w:val="BodyText"/>
      </w:pPr>
      <w:r>
        <w:t xml:space="preserve">A number of seed compounds were also predicted to be degraded by members of the acI lineage (Figure 3B and Table S3 in Supplemental Dataset S1).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S10 and S11 in Supplemental Dataset S1),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of the median gene expression levels (Table S10 in Supplemental Dataset S1). Clade acI-A expressed a third aminopeptidase at a lower level of 40% the median gene expression level (Table S10 in Supplemental Dataset S1).</w:t>
      </w:r>
    </w:p>
    <w:p>
      <w:pPr>
        <w:pStyle w:val="BodyText"/>
      </w:pPr>
      <w:r>
        <w:t xml:space="preserve">All three clades were predicted to encode an alpha-glucosidase, which in Lake Mendota was only expressed in clades acI-B and acI-C, at upwards of 60% of the median gene expression level (Table S11 in Supplemental Dataset S1). All three clades also encode a beta-glucosidase, but it was not expressed in our samples.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S11 in Supplemental Dataset S1)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S12 and S13 in Supplemental Dataset S1, and Supplemental Text S1).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S13 in Supplemental Dataset S1). In contrast, while all clades expressed some genes from the polyamine transporters, only clade acI-B expressed the binding protein, at approximately 27.8 times the median (Table S13 in Supplemental Dataset S1). Finally, clades acI-A and acI-B also contain a putative transporter for glycine betaine, which was only expressed in clade acI-A, at approximately 9.6 times the median (Table S13 in Supplemental Dataset S1).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S13 in Supplemental Dataset S1).</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S13 in Supplemental Dataset S1). Clades acI-A and acI-B also contain a second potential purine/pyrimidine transporter (annotated as a cytosine/purine/uracil/thiamine/allantoin family permease), which was only expressed in clade acI-B (Table S13 in Supplemental Dataset S1).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S13 in Supplemental Dataset S1).</w:t>
      </w:r>
    </w:p>
    <w:p>
      <w:pPr>
        <w:pStyle w:val="BodyText"/>
      </w:pPr>
      <w:r>
        <w:t xml:space="preserve">Finally, all three clades expressed actinorhodopsin, a light-sensitive protein that is expected to function as a proton efflux pump</w:t>
      </w:r>
      <w:r>
        <w:t xml:space="preserve"> </w:t>
      </w:r>
      <w:r>
        <w:t xml:space="preserve">(31)</w:t>
      </w:r>
      <w:r>
        <w:t xml:space="preserve">. In all clades, actinorhodopsin was among the top ten most highly-expressed genes (Table S7 in Supplemental Dataset S1), with expression values in excess of 84 times the median in all three clades (Table S7 in Supplemental Dataset S1).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discussion"/>
      <w:bookmarkEnd w:id="31"/>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The computational approach easily scales to hundreds of metabolic reconstructions, and enables a targeted analysis by identifying those compounds through which an organism interacts with its environment. However, predicted seed compounds are sensitive to the metabolic network structure, and analyzing the results requires significant manual curation of the metabolic reconstruction and accurate interpretation of the underlying gene annotations. As a consequence, the seed set framework as not as high-throughput as initially envisioned, but is nevertheless suitable for analysis of microorganisms with high-quality metabolic network reconstructions.</w:t>
      </w:r>
    </w:p>
    <w:p>
      <w:pPr>
        <w:pStyle w:val="BodyText"/>
      </w:pPr>
      <w:r>
        <w:t xml:space="preserve">Our predictions of substrate use capabilities of the acI lineage are largely congruent with previous genome-centric studies based on smaller but manually curated genome collections</w:t>
      </w:r>
      <w:r>
        <w:t xml:space="preserve"> </w:t>
      </w:r>
      <w:r>
        <w:t xml:space="preserve">(22, 25, 27)</w:t>
      </w:r>
      <w:r>
        <w:t xml:space="preserve">, indicating that the use of automatic metabolic network reconstructions yields similar predictions to comparatively more manual metabolic reconstruction efforts, while being both more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(32–34)</w:t>
      </w:r>
      <w:r>
        <w:t xml:space="preserve">, the deoxynucleoside thymidine</w:t>
      </w:r>
      <w:r>
        <w:t xml:space="preserve"> </w:t>
      </w:r>
      <w:r>
        <w:t xml:space="preserve">(23, 35)</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(36)</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this clade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(37, 38)</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2" w:name="materials-and-methods"/>
      <w:bookmarkEnd w:id="32"/>
      <w:r>
        <w:t xml:space="preserve">Materials and Methods</w:t>
      </w:r>
    </w:p>
    <w:p>
      <w:pPr>
        <w:pStyle w:val="Heading2"/>
      </w:pPr>
      <w:bookmarkStart w:id="33" w:name="a-freshwater-reference-genome-collection"/>
      <w:bookmarkEnd w:id="33"/>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(27, 39)</w:t>
      </w:r>
      <w:r>
        <w:t xml:space="preserve">, as well as SAGs from three lakes in the United States</w:t>
      </w:r>
      <w:r>
        <w:t xml:space="preserve"> </w:t>
      </w:r>
      <w:r>
        <w:t xml:space="preserve">(21)</w:t>
      </w:r>
      <w:r>
        <w:t xml:space="preserve">. Additional information about this genome collection can be found in the Supplemental Text S1.</w:t>
      </w:r>
    </w:p>
    <w:p>
      <w:pPr>
        <w:pStyle w:val="Heading2"/>
      </w:pPr>
      <w:bookmarkStart w:id="34" w:name="metatranscriptome-sampling-and-sequencing"/>
      <w:bookmarkEnd w:id="34"/>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Text S1. All protocols and scripts for sample collection, RNA extraction, rRNA depletion, sequencing, and bioinformatic analysis can be found on Github (</w:t>
      </w:r>
      <w:hyperlink r:id="rId35">
        <w:r>
          <w:rPr>
            <w:rStyle w:val="Hyperlink"/>
          </w:rPr>
          <w:t xml:space="preserve">https://github.com/McMahonLab/OMD-TOIL</w:t>
        </w:r>
      </w:hyperlink>
      <w:r>
        <w:t xml:space="preserve">,</w:t>
      </w:r>
      <w:r>
        <w:t xml:space="preserve"> </w:t>
      </w:r>
      <w:hyperlink r:id="rId36">
        <w:r>
          <w:rPr>
            <w:rStyle w:val="Hyperlink"/>
          </w:rPr>
          <w:t xml:space="preserve">DOI:10.5281/zenodo.839851</w:t>
        </w:r>
      </w:hyperlink>
      <w:r>
        <w:t xml:space="preserve">). Metadata for the four samples used in this study can be found in Table S6 in Supplemental Dataset S1, and the raw RNA sequences can be found on the National Center for Biotechnology Information’s Sequence Read Archive (SRA) under BioProject PRJNA362825.</w:t>
      </w:r>
    </w:p>
    <w:p>
      <w:pPr>
        <w:pStyle w:val="Heading2"/>
      </w:pPr>
      <w:bookmarkStart w:id="37" w:name="identification-of-aci-sags-and-actinobacterial-mags"/>
      <w:bookmarkEnd w:id="37"/>
      <w:r>
        <w:t xml:space="preserve">Identification of acI SAGs and Actinobacterial MAGs</w:t>
      </w:r>
    </w:p>
    <w:p>
      <w:pPr>
        <w:pStyle w:val="FirstParagraph"/>
      </w:pPr>
      <w:r>
        <w:t xml:space="preserve">The acI were previously phylogenetically divided into three clades (acI-A, acI-B, and acI-C) and thirteen tribes on the basis of their 16S rRNA gene sequences</w:t>
      </w:r>
      <w:r>
        <w:t xml:space="preserve"> </w:t>
      </w:r>
      <w:r>
        <w:t xml:space="preserve">(28)</w:t>
      </w:r>
      <w:r>
        <w:t xml:space="preserve">. The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Text S1. Actinobacterial MAGs were identified within two metagenomic time-series</w:t>
      </w:r>
      <w:r>
        <w:t xml:space="preserve"> </w:t>
      </w:r>
      <w:r>
        <w:t xml:space="preserve">(27, 39)</w:t>
      </w:r>
      <w:r>
        <w:t xml:space="preserve"> </w:t>
      </w:r>
      <w:r>
        <w:t xml:space="preserve">using taxonomic assignments from a subset of conserved marker genes, as described in the Supplemental Text S1. Phylogenetic analysis of acI SAGs and Actinobacterial MAGs was performed using a concatenated alignment of single-copy marker genes obtained via Phylosift</w:t>
      </w:r>
      <w:r>
        <w:t xml:space="preserve"> </w:t>
      </w:r>
      <w:r>
        <w:t xml:space="preserve">(40)</w:t>
      </w:r>
      <w:r>
        <w:t xml:space="preserve">. Maximum likelihood trees were generated using RAxML</w:t>
      </w:r>
      <w:r>
        <w:t xml:space="preserve"> </w:t>
      </w:r>
      <w:r>
        <w:t xml:space="preserve">(41)</w:t>
      </w:r>
      <w:r>
        <w:t xml:space="preserve"> </w:t>
      </w:r>
      <w:r>
        <w:t xml:space="preserve">using the automatic protein model assignment option (PROTGAMMAAUTO) and 100 bootstraps.</w:t>
      </w:r>
    </w:p>
    <w:p>
      <w:pPr>
        <w:pStyle w:val="Heading2"/>
      </w:pPr>
      <w:bookmarkStart w:id="38" w:name="genome-annotation-metabolic-network-reconstruction-and-computation-and-evaluation-of-seed-compounds"/>
      <w:bookmarkEnd w:id="38"/>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(42)</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(43, 44)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(45)</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Text S1). Many of the individual acI genomes are incomplete. Therefore, composite metabolic network graphs were constructed for each tribe and clade, to increase the accuracy of seed identification by means of a more complete metabolic network (Figure S4 and Supplemental Text S1).</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(1)</w:t>
      </w:r>
      <w:r>
        <w:t xml:space="preserve">. Seed compounds for each composite metabolic network graph were calculated using a new Python implementation of the seed set framework</w:t>
      </w:r>
      <w:r>
        <w:t xml:space="preserve"> </w:t>
      </w:r>
      <w:r>
        <w:t xml:space="preserve">(1)</w:t>
      </w:r>
      <w:r>
        <w:t xml:space="preserve"> </w:t>
      </w:r>
      <w:r>
        <w:t xml:space="preserve">(Figure S5 and the Supplemental Text S1).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Text S1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w:t>
      </w:r>
      <w:hyperlink r:id="rId39">
        <w:r>
          <w:rPr>
            <w:rStyle w:val="Hyperlink"/>
          </w:rPr>
          <w:t xml:space="preserve">https://pypi.python.org/pypi/reverseEcology/</w:t>
        </w:r>
      </w:hyperlink>
      <w:r>
        <w:t xml:space="preserve">, DOI:</w:t>
      </w:r>
      <w:hyperlink r:id="rId40">
        <w:r>
          <w:rPr>
            <w:rStyle w:val="Hyperlink"/>
          </w:rPr>
          <w:t xml:space="preserve">10.5281/zenodo.839856</w:t>
        </w:r>
      </w:hyperlink>
      <w:r>
        <w:t xml:space="preserve">).</w:t>
      </w:r>
    </w:p>
    <w:p>
      <w:pPr>
        <w:pStyle w:val="Heading2"/>
      </w:pPr>
      <w:bookmarkStart w:id="41" w:name="identification-of-transported-compounds"/>
      <w:bookmarkEnd w:id="41"/>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(36)</w:t>
      </w:r>
      <w:r>
        <w:t xml:space="preserve">, substrates for each transporter are described as putative and acting on molecular classes (e.g., saccharide, amino acid) instead of specific compounds, to better reflect the promiscuity of transport proteins and the ambiguity of their annotation.</w:t>
      </w:r>
    </w:p>
    <w:p>
      <w:pPr>
        <w:pStyle w:val="Heading2"/>
      </w:pPr>
      <w:bookmarkStart w:id="42" w:name="protein-clustering-metatranscriptomic-mapping-and-clade-level-gene-expression"/>
      <w:bookmarkEnd w:id="42"/>
      <w:r>
        <w:t xml:space="preserve">Protein Clustering, Metatranscriptomic Mapping, and Clade-Level Gene Expression</w:t>
      </w:r>
    </w:p>
    <w:p>
      <w:pPr>
        <w:pStyle w:val="FirstParagraph"/>
      </w:pPr>
      <w:r>
        <w:t xml:space="preserve">OrthoMCL</w:t>
      </w:r>
      <w:r>
        <w:t xml:space="preserve"> </w:t>
      </w:r>
      <w:r>
        <w:t xml:space="preserve">(30)</w:t>
      </w:r>
      <w:r>
        <w:t xml:space="preserve"> </w:t>
      </w:r>
      <w:r>
        <w:t xml:space="preserve">was used to identify clusters of orthologous groups (COGs) in the set of acI genomes. Both OrthoMCL and BLAST were run using default options</w:t>
      </w:r>
      <w:r>
        <w:t xml:space="preserve"> </w:t>
      </w:r>
      <w:r>
        <w:t xml:space="preserve">(46)</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(47)</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(48)</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(49)</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43" w:name="availability-of-data-and-materials"/>
      <w:bookmarkEnd w:id="43"/>
      <w:r>
        <w:t xml:space="preserve">Availability of Data and Materials</w:t>
      </w:r>
    </w:p>
    <w:p>
      <w:pPr>
        <w:pStyle w:val="FirstParagraph"/>
      </w:pPr>
      <w:r>
        <w:t xml:space="preserve">All genomic and metatranscriptomic sequences are available through IMG and NCBI, respectively. A reproducible version of this manuscript is available at</w:t>
      </w:r>
      <w:r>
        <w:t xml:space="preserve"> </w:t>
      </w:r>
      <w:hyperlink r:id="rId44">
        <w:r>
          <w:rPr>
            <w:rStyle w:val="Hyperlink"/>
          </w:rPr>
          <w:t xml:space="preserve">https://github.com/joshamilton/Hamilton_acI_2017</w:t>
        </w:r>
      </w:hyperlink>
      <w:r>
        <w:t xml:space="preserve"> </w:t>
      </w:r>
      <w:r>
        <w:t xml:space="preserve">(DOI:</w:t>
      </w:r>
      <w:hyperlink r:id="rId45">
        <w:r>
          <w:rPr>
            <w:rStyle w:val="Hyperlink"/>
          </w:rPr>
          <w:t xml:space="preserve">10.5281/zenodo.839858</w:t>
        </w:r>
      </w:hyperlink>
      <w:r>
        <w:t xml:space="preserve">).</w:t>
      </w:r>
    </w:p>
    <w:p>
      <w:pPr>
        <w:pStyle w:val="Heading1"/>
      </w:pPr>
      <w:bookmarkStart w:id="46" w:name="acknowledgements"/>
      <w:bookmarkEnd w:id="46"/>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data collection and interpretation, or the decision to submit the work for publication.</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figure-legends"/>
      <w:bookmarkEnd w:id="48"/>
      <w:r>
        <w:t xml:space="preserve">Figure Legends</w:t>
      </w:r>
    </w:p>
    <w:p>
      <w:pPr>
        <w:pStyle w:val="FirstParagraph"/>
      </w:pPr>
      <w:r>
        <w:t xml:space="preserve"> </w:t>
      </w:r>
    </w:p>
    <w:p>
      <w:pPr>
        <w:pStyle w:val="Heading2"/>
      </w:pPr>
      <w:bookmarkStart w:id="49" w:name="figure-1-figuresfig1-treefigure1.pdf"/>
      <w:bookmarkEnd w:id="49"/>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 Supplemental Figure S1 shows the position of the acI lineage relative to other orders within the class Actinobacteria.</w:t>
      </w:r>
    </w:p>
    <w:p>
      <w:pPr>
        <w:pStyle w:val="BodyText"/>
      </w:pPr>
      <w:r>
        <w:t xml:space="preserve"> </w:t>
      </w:r>
    </w:p>
    <w:p>
      <w:pPr>
        <w:pStyle w:val="Heading2"/>
      </w:pPr>
      <w:bookmarkStart w:id="50" w:name="figure-2-figuresfig2-workflowfigure2.pdf"/>
      <w:bookmarkEnd w:id="50"/>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 BBMap. Orthologous gene clusters are identified using OrthoMCL</w:t>
      </w:r>
      <w:r>
        <w:t xml:space="preserve"> </w:t>
      </w:r>
      <w:r>
        <w:t xml:space="preserve">(30)</w:t>
      </w:r>
      <w:r>
        <w:t xml:space="preserve">. For each cluster, unique reads which map to any gene within that cluster are counted using HTSeq</w:t>
      </w:r>
      <w:r>
        <w:t xml:space="preserve"> </w:t>
      </w:r>
      <w:r>
        <w:t xml:space="preserve">(48)</w:t>
      </w:r>
      <w:r>
        <w:t xml:space="preserve">. The relative gene expression is computed using RPKM</w:t>
      </w:r>
      <w:r>
        <w:t xml:space="preserve"> </w:t>
      </w:r>
      <w:r>
        <w:t xml:space="preserve">(49)</w:t>
      </w:r>
      <w:r>
        <w:t xml:space="preserve">.</w:t>
      </w:r>
    </w:p>
    <w:p>
      <w:pPr>
        <w:pStyle w:val="BodyText"/>
      </w:pPr>
      <w:r>
        <w:t xml:space="preserve"> </w:t>
      </w:r>
    </w:p>
    <w:p>
      <w:pPr>
        <w:pStyle w:val="Heading2"/>
      </w:pPr>
      <w:bookmarkStart w:id="51" w:name="figure-3-figuresfig3-seedsfigure3.pdf"/>
      <w:bookmarkEnd w:id="51"/>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fold-change relative to the median of the encoding gene cluster. For compounds acted upon by multiple gene clusters, the percentile of the most highly-expressed cluster was chosen.</w:t>
      </w:r>
    </w:p>
    <w:p>
      <w:pPr>
        <w:pStyle w:val="BodyText"/>
      </w:pPr>
      <w:r>
        <w:t xml:space="preserve"> </w:t>
      </w:r>
    </w:p>
    <w:p>
      <w:pPr>
        <w:pStyle w:val="Heading2"/>
      </w:pPr>
      <w:bookmarkStart w:id="52" w:name="figure-4-figuresfig4-transportersfigure4.pdf"/>
      <w:bookmarkEnd w:id="52"/>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fold-change relative to the median of the encoding gene cluster. For multi-subunit transporters, the RPKM of the substrate-binding subunit was chosen (Table S13 in Supplemental Dataset S1).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1"/>
      </w:pPr>
      <w:bookmarkStart w:id="53" w:name="supplemental-material-legends"/>
      <w:bookmarkEnd w:id="53"/>
      <w:r>
        <w:t xml:space="preserve">Supplemental Material Legends</w:t>
      </w:r>
    </w:p>
    <w:p>
      <w:pPr>
        <w:pStyle w:val="FirstParagraph"/>
      </w:pPr>
      <w:r>
        <w:t xml:space="preserve"> </w:t>
      </w:r>
    </w:p>
    <w:p>
      <w:pPr>
        <w:pStyle w:val="Heading2"/>
      </w:pPr>
      <w:bookmarkStart w:id="54" w:name="supplemental-figure-1-figuresfig1-treefigures1.pdf"/>
      <w:bookmarkEnd w:id="54"/>
      <w:r>
        <w:t xml:space="preserve">Supplemental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(50)</w:t>
      </w:r>
      <w:r>
        <w:t xml:space="preserve"> </w:t>
      </w:r>
      <w:r>
        <w:t xml:space="preserve">(Table S19 in Supplemental Dataset S1).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w:t>
      </w:r>
    </w:p>
    <w:p>
      <w:pPr>
        <w:pStyle w:val="BodyText"/>
      </w:pPr>
      <w:r>
        <w:t xml:space="preserve"> </w:t>
      </w:r>
    </w:p>
    <w:p>
      <w:pPr>
        <w:pStyle w:val="Heading2"/>
      </w:pPr>
      <w:bookmarkStart w:id="55" w:name="supplemental-figure-2-figuresfigs-samplingfigures1.pdf"/>
      <w:bookmarkEnd w:id="55"/>
      <w:r>
        <w:t xml:space="preserve">Supplemental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(29)</w:t>
      </w:r>
      <w:r>
        <w:t xml:space="preserve">. Error bars represent the 95% confidence interval estimated from 1000 iterations.</w:t>
      </w:r>
    </w:p>
    <w:p>
      <w:pPr>
        <w:pStyle w:val="BodyText"/>
      </w:pPr>
      <w:r>
        <w:t xml:space="preserve"> </w:t>
      </w:r>
    </w:p>
    <w:p>
      <w:pPr>
        <w:pStyle w:val="Heading2"/>
      </w:pPr>
      <w:bookmarkStart w:id="56" w:name="supplemental-figure-3-figuresfig2-workflowfigures3.pdf"/>
      <w:bookmarkEnd w:id="56"/>
      <w:r>
        <w:t xml:space="preserve">Supplemental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(51)</w:t>
      </w:r>
      <w:r>
        <w:t xml:space="preserve">.</w:t>
      </w:r>
    </w:p>
    <w:p>
      <w:pPr>
        <w:pStyle w:val="BodyText"/>
      </w:pPr>
      <w:r>
        <w:t xml:space="preserve"> </w:t>
      </w:r>
    </w:p>
    <w:p>
      <w:pPr>
        <w:pStyle w:val="Heading2"/>
      </w:pPr>
      <w:bookmarkStart w:id="57" w:name="supplemental-figure-4-figuresfig2-workflowfigures4.pdf"/>
      <w:bookmarkEnd w:id="57"/>
      <w:r>
        <w:t xml:space="preserve">Supplemental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58" w:name="supplemental-figure-5-figuresfig2-workflowfigures5.pdf"/>
      <w:bookmarkEnd w:id="58"/>
      <w:r>
        <w:t xml:space="preserve">Supplemental Figure 5 (figures/fig2-workflow/FigureS5.pdf)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59" w:name="supplemental-figure-6-figuresfig2-workflowfigures6.pdf"/>
      <w:bookmarkEnd w:id="59"/>
      <w:r>
        <w:t xml:space="preserve">Supplemental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60" w:name="supplemental-dataset-s1-manuscripthamilton_aci_2017_tables.xlsx"/>
      <w:bookmarkEnd w:id="60"/>
      <w:r>
        <w:t xml:space="preserve">Supplemental Dataset S1 (manuscript/Hamilton_acI_2017_Tables.xlsx)</w:t>
      </w:r>
    </w:p>
    <w:p>
      <w:pPr>
        <w:pStyle w:val="FirstParagraph"/>
      </w:pPr>
      <w:r>
        <w:t xml:space="preserve"> </w:t>
      </w:r>
    </w:p>
    <w:p>
      <w:pPr>
        <w:pStyle w:val="BodyText"/>
      </w:pPr>
      <w:r>
        <w:t xml:space="preserve">Tables S1 to S19.</w:t>
      </w:r>
    </w:p>
    <w:p>
      <w:pPr>
        <w:pStyle w:val="Heading1"/>
      </w:pPr>
      <w:bookmarkStart w:id="61" w:name="references"/>
      <w:bookmarkEnd w:id="61"/>
      <w:r>
        <w:t xml:space="preserve">References</w:t>
      </w:r>
    </w:p>
    <w:p>
      <w:pPr>
        <w:pStyle w:val="Bibliography"/>
      </w:pPr>
      <w:r>
        <w:t xml:space="preserve">1. Borenstein E, Kupiec M, Feldman MW, Ruppin E. 2008. Large-scale reconstruction and phylogenetic analysis of metabolic environments. Proceedings of the National Academy of Sciences 105:14482–14487.</w:t>
      </w:r>
    </w:p>
    <w:p>
      <w:pPr>
        <w:pStyle w:val="Bibliography"/>
      </w:pPr>
      <w:r>
        <w:t xml:space="preserve">2. Falkowski PG, Fenchel T, Delong EF. 2008. The microbial engines that drive Earth’s biogeochemical cycles. Science 320:1034–1039.</w:t>
      </w:r>
    </w:p>
    <w:p>
      <w:pPr>
        <w:pStyle w:val="Bibliography"/>
      </w:pPr>
      <w:r>
        <w:t xml:space="preserve">3.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4. Sangwan N, Xia F, Gilbert JA. 2016. Recovering complete and draft population genomes from metagenome datasets. Microbiome 4:8.</w:t>
      </w:r>
    </w:p>
    <w:p>
      <w:pPr>
        <w:pStyle w:val="Bibliography"/>
      </w:pPr>
      <w:r>
        <w:t xml:space="preserve">5. Lawson CE, Wu S, Bhattacharjee AS, Hamilton JJ, Mcmahon KD, Goel R, Noguera DR. 2017. Metabolic network analysis reveals microbial community interactions in anammox granules. Nature Communications 8:15416.</w:t>
      </w:r>
    </w:p>
    <w:p>
      <w:pPr>
        <w:pStyle w:val="Bibliography"/>
      </w:pPr>
      <w:r>
        <w:t xml:space="preserve">6.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7. Orth JD, Thiele I, Palsson BØ. 2010. What is flux balance analysis? Nature Biotechnology 28:245–248.</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Parks DH, Imelfort M, Skennerton CT, Hugenholtz P, Tyson GW. 2015. CheckM: assessing the quality of microbial genomes recovered from isolates, single cells, and metagenomes. Genome Research 25:1043–1055.</w:t>
      </w:r>
    </w:p>
    <w:p>
      <w:pPr>
        <w:pStyle w:val="Bibliography"/>
      </w:pPr>
      <w:r>
        <w:t xml:space="preserve">30. Li L, Stoeckert CJ, Roos DS. 2003. OrthoMCL: identification of ortholog groups for eukaryotic genomes. Genome Research 13:2178–89.</w:t>
      </w:r>
    </w:p>
    <w:p>
      <w:pPr>
        <w:pStyle w:val="Bibliography"/>
      </w:pPr>
      <w:r>
        <w:t xml:space="preserve">31. Sharma AK, Zhaxybayeva O, Papke RT, Doolittle WF. 2008. Actinorhodopsins: Proteorhodopsin-like gene sequences found predominantly in non-marine environments. Environmental Microbiology 10:1039–1056.</w:t>
      </w:r>
    </w:p>
    <w:p>
      <w:pPr>
        <w:pStyle w:val="Bibliography"/>
      </w:pPr>
      <w:r>
        <w:t xml:space="preserve">32. Beier S, Bertilsson S. 2011. Uncoupling of chitinase activity and uptake of hydrolysis products in freshwater bacterioplankton. Limnology and Oceanography 56:1179–1188.</w:t>
      </w:r>
    </w:p>
    <w:p>
      <w:pPr>
        <w:pStyle w:val="Bibliography"/>
      </w:pPr>
      <w:r>
        <w:t xml:space="preserve">33. Eckert EM, Salcher MM, Posch T, Eugster B, Pernthaler J. 2012. Rapid successions affect microbial N-acetyl-glucosamine uptake patterns during a lacustrine spring phytoplankton bloom. Environmental Microbiology 14:794–806.</w:t>
      </w:r>
    </w:p>
    <w:p>
      <w:pPr>
        <w:pStyle w:val="Bibliography"/>
      </w:pPr>
      <w:r>
        <w:t xml:space="preserve">34. Eckert EM, Baumgartner M, Huber IM, Pernthaler J. 2013. Grazing resistant freshwater bacteria profit from chitin and cell-wall-derived organic carbon. Environmental Microbiology 15:2019–2030.</w:t>
      </w:r>
    </w:p>
    <w:p>
      <w:pPr>
        <w:pStyle w:val="Bibliography"/>
      </w:pPr>
      <w:r>
        <w:t xml:space="preserve">35.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36. Saier MH, Reddy VS, Tamang DG, Västermark Å. 2014. The transporter classification database. Nucleic Acids Research 42:D251–D258.</w:t>
      </w:r>
    </w:p>
    <w:p>
      <w:pPr>
        <w:pStyle w:val="Bibliography"/>
      </w:pPr>
      <w:r>
        <w:t xml:space="preserve">37. Garcia SL. 2016. Mixed cultures as model communities: hunting for ubiquitous microorganisms, their partners, and interactions. Aquatic Microbial Ecology 77:79–85.</w:t>
      </w:r>
    </w:p>
    <w:p>
      <w:pPr>
        <w:pStyle w:val="Bibliography"/>
      </w:pPr>
      <w:r>
        <w:t xml:space="preserve">38.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39.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40. Darling AE, Jospin G, Lowe E, Matsen FA, Bik HM, Eisen JA. 2014. PhyloSift: phylogenetic analysis of genomes and metagenomes. PeerJ 2:e243.</w:t>
      </w:r>
    </w:p>
    <w:p>
      <w:pPr>
        <w:pStyle w:val="Bibliography"/>
      </w:pPr>
      <w:r>
        <w:t xml:space="preserve">41. Stamatakis A. 2014. RAxML version 8: a tool for phylogenetic analysis and post-analysis of large phylogenies. Bioinformatics 30:1312–1313.</w:t>
      </w:r>
    </w:p>
    <w:p>
      <w:pPr>
        <w:pStyle w:val="Bibliography"/>
      </w:pPr>
      <w:r>
        <w:t xml:space="preserve">42. Jeong H, Tombor B, Albert R, Oltvai ZN, Barabási A-L, Database I. 2000. The large-scale organization of metabolic networks. Nature 407:651–654.</w:t>
      </w:r>
    </w:p>
    <w:p>
      <w:pPr>
        <w:pStyle w:val="Bibliography"/>
      </w:pPr>
      <w:r>
        <w:t xml:space="preserve">43.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44.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45. Henry CS, DeJongh M, Best AA, Frybarger PM, Linsay B, Stevens RL. 2010. High-throughput generation, optimization and analysis of genome-scale metabolic models. Nature Biotechnology 28:977–982.</w:t>
      </w:r>
    </w:p>
    <w:p>
      <w:pPr>
        <w:pStyle w:val="Bibliography"/>
      </w:pPr>
      <w:r>
        <w:t xml:space="preserve">46.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47. Konstantinidis KT, Tiedje JM. 2005. Genomic insights that advance the species definition for prokaryotes. Proceedings of the National Academy of Sciences 102:2567–2572.</w:t>
      </w:r>
    </w:p>
    <w:p>
      <w:pPr>
        <w:pStyle w:val="Bibliography"/>
      </w:pPr>
      <w:r>
        <w:t xml:space="preserve">48. Anders S, Pyl PT, Huber W. 2014. HTSeq A Python framework to work with high-throughput sequencing data. Bioinformatics 31:166–169.</w:t>
      </w:r>
    </w:p>
    <w:p>
      <w:pPr>
        <w:pStyle w:val="Bibliography"/>
      </w:pPr>
      <w:r>
        <w:t xml:space="preserve">49. Mortazavi A, Williams BA, McCue K, Schaeffer L, Wold B. 2008. Mapping and quantifying mammalian transcriptomes by RNA-Seq. Nature Methods 5:621–628.</w:t>
      </w:r>
    </w:p>
    <w:p>
      <w:pPr>
        <w:pStyle w:val="Bibliography"/>
      </w:pPr>
      <w:r>
        <w:t xml:space="preserve">50. Gao B, Gupta RS. 2012. Phylogenetic Framework and Molecular Signatures for the Main Clades of the Phylum Actinobacteria. Microbiology and Molecular Biology Reviews 76:66–112.</w:t>
      </w:r>
    </w:p>
    <w:p>
      <w:pPr>
        <w:pStyle w:val="Bibliography"/>
      </w:pPr>
      <w:r>
        <w:t xml:space="preserve">51.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42b6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