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w:t>
      </w:r>
      <w:r>
        <w:t xml:space="preserve"> </w:t>
      </w:r>
      <w:r>
        <w:t xml:space="preserve">(1)</w:t>
      </w:r>
      <w:r>
        <w:t xml:space="preserve">,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to the hypothesis that members of the acI are photoheterotrophs.</w:t>
      </w:r>
    </w:p>
    <w:p>
      <w:pPr>
        <w:pStyle w:val="Heading1"/>
      </w:pPr>
      <w:bookmarkStart w:id="22" w:name="importance"/>
      <w:bookmarkEnd w:id="22"/>
      <w:r>
        <w:t xml:space="preserve">Importance</w:t>
      </w:r>
    </w:p>
    <w:p>
      <w:pPr>
        <w:pStyle w:val="FirstParagraph"/>
      </w:pPr>
      <w:r>
        <w:t xml:space="preserve">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 intensive metabolic reconstruction efforts, and also provide new hypotheses about the specific contributions microbes make to ecosystem-scale metabolic processes.</w:t>
      </w:r>
    </w:p>
    <w:p>
      <w:pPr>
        <w:pStyle w:val="Heading1"/>
      </w:pPr>
      <w:bookmarkStart w:id="23" w:name="introduction"/>
      <w:bookmarkEnd w:id="23"/>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(2, 3)</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(4)</w:t>
      </w:r>
      <w:r>
        <w:t xml:space="preserve"> </w:t>
      </w:r>
      <w:r>
        <w:t xml:space="preserve">that can be used to reconstruct an organism’s metabolism.</w:t>
      </w:r>
    </w:p>
    <w:p>
      <w:pPr>
        <w:pStyle w:val="BodyText"/>
      </w:pPr>
      <w:r>
        <w:t xml:space="preserve">Common approaches to metabolic reconstruction involve the comprehensive reconstruction of an organism’s metabolic pathways</w:t>
      </w:r>
      <w:r>
        <w:t xml:space="preserve"> </w:t>
      </w:r>
      <w:r>
        <w:t xml:space="preserve">(5)</w:t>
      </w:r>
      <w:r>
        <w:t xml:space="preserve">, or a targeted search for genes involved in processes of interest</w:t>
      </w:r>
      <w:r>
        <w:t xml:space="preserve"> </w:t>
      </w:r>
      <w:r>
        <w:t xml:space="preserve">(6)</w:t>
      </w:r>
      <w:r>
        <w:t xml:space="preserve">. These reconstructions can then be analyzed manually or using computational approaches such as flux-balance analysis (FBA)</w:t>
      </w:r>
      <w:r>
        <w:t xml:space="preserve"> </w:t>
      </w:r>
      <w:r>
        <w:t xml:space="preserve">(7)</w:t>
      </w:r>
      <w:r>
        <w:t xml:space="preserve">. However, FBA-based approaches require a comprehensive understanding of an organism’s growth requirements and biomass composition, information which is often unavailable for uncultivated microorganisms. An alternative approach is to compute an organism’s</w:t>
      </w:r>
      <w:r>
        <w:t xml:space="preserve"> </w:t>
      </w:r>
      <w:r>
        <w:rPr>
          <w:i/>
        </w:rPr>
        <w:t xml:space="preserve">seed set</w:t>
      </w:r>
      <w:r>
        <w:t xml:space="preserve">, the set of compounds that the organism cannot synthesize on its own and must exogenously acquire from its environment (e.g., its growth requirements)</w:t>
      </w:r>
      <w:r>
        <w:t xml:space="preserve"> </w:t>
      </w:r>
      <w:r>
        <w:t xml:space="preserve">(1)</w:t>
      </w:r>
      <w:r>
        <w:t xml:space="preserve">.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compounds for which degradation but not synthesis routes are present in the genome. The</w:t>
      </w:r>
      <w:r>
        <w:t xml:space="preserve"> </w:t>
      </w:r>
      <w:r>
        <w:rPr>
          <w:i/>
        </w:rPr>
        <w:t xml:space="preserve">seed set framework</w:t>
      </w:r>
      <w:r>
        <w:t xml:space="preserve"> </w:t>
      </w:r>
      <w:r>
        <w:t xml:space="preserve">offers potential advantages over other reconstruction-based approaches, as identification of seed compounds facilitates a focused analysis by identifying those compounds through which an organism interacts with its environment.</w:t>
      </w:r>
    </w:p>
    <w:p>
      <w:pPr>
        <w:pStyle w:val="BodyText"/>
      </w:pPr>
      <w:r>
        <w:t xml:space="preserve">In the present study, we present a computational pipeline to predict seed compounds using metabolic network reconstructions generated from KBase</w:t>
      </w:r>
      <w:r>
        <w:t xml:space="preserve"> </w:t>
      </w:r>
      <w:r>
        <w:t xml:space="preserve">(8)</w:t>
      </w:r>
      <w:r>
        <w:t xml:space="preserve">. We apply this pipeline to a collection of 36 metagenome-assembled genomes (MAGs) and single-cell genomes (SAGs) from the abundant and ubiquitous freshwater Actinobacterial lineage acI, which is thought to have a central role in nutrient cycling in diverse freshwater systems</w:t>
      </w:r>
      <w:r>
        <w:t xml:space="preserve"> </w:t>
      </w:r>
      <w:r>
        <w:t xml:space="preserve">(9–18)</w:t>
      </w:r>
      <w:r>
        <w:t xml:space="preserve">. The seed compounds predicted by our analysis are in agreement with previous experimental and genomic observations</w:t>
      </w:r>
      <w:r>
        <w:t xml:space="preserve"> </w:t>
      </w:r>
      <w:r>
        <w:t xml:space="preserve">(19–27)</w:t>
      </w:r>
      <w:r>
        <w:t xml:space="preserve">, confirming the ability of our method to predict an organism’s auxotrophies and nutrient sources.</w:t>
      </w:r>
    </w:p>
    <w:p>
      <w:pPr>
        <w:pStyle w:val="BodyText"/>
      </w:pPr>
      <w:r>
        <w:t xml:space="preserve">In particular, we find that members of the acI lineage are auxotrophic for essential vitamins and amino acids, and may consume as nutrients a wide array of N-containing compounds (including ammonium, branched-chain amino acids, polyamines, and di- and oligo-peptides) as well as mono-, poly-, and oligo-saccharides. To complement these predictions, and to understand which pathways dominate active metabolism of acI in its natural environment, we conducted an</w:t>
      </w:r>
      <w:r>
        <w:t xml:space="preserve"> </w:t>
      </w:r>
      <w:r>
        <w:rPr>
          <w:i/>
        </w:rPr>
        <w:t xml:space="preserve">in situ</w:t>
      </w:r>
      <w:r>
        <w:t xml:space="preserve"> </w:t>
      </w:r>
      <w:r>
        <w:t xml:space="preserve">metatranscriptomic analysis of gene expression in the acI lineage. This analysis revealed that the acI express a diverse array of transporters for auxotrophies, nutrients, and other compounds that may contribute to their observed dominance and widespread distribution in a variety of aquatic systems.</w:t>
      </w:r>
    </w:p>
    <w:p>
      <w:pPr>
        <w:pStyle w:val="Heading1"/>
      </w:pPr>
      <w:bookmarkStart w:id="24" w:name="results"/>
      <w:bookmarkEnd w:id="24"/>
      <w:r>
        <w:t xml:space="preserve">Results</w:t>
      </w:r>
    </w:p>
    <w:p>
      <w:pPr>
        <w:pStyle w:val="Heading2"/>
      </w:pPr>
      <w:bookmarkStart w:id="25" w:name="phylogenetic-affiliation-of-aci-genomes"/>
      <w:bookmarkEnd w:id="25"/>
      <w:r>
        <w:t xml:space="preserve">Phylogenetic Affiliation of acI Genomes</w:t>
      </w:r>
    </w:p>
    <w:p>
      <w:pPr>
        <w:pStyle w:val="FirstParagraph"/>
      </w:pPr>
      <w:r>
        <w:t xml:space="preserve">We identified 17 SAGs and 19 MAGs from members of the acI lineage (Supplementary Table S1) in a larger set of reference genomes derived from our long-term study sites. A phylogenetic tree of these genomes built using a concatenated alignment of single-copy marker genes is shown in Figure 1. Previous phylogenetic analyses using 16S rRNA gene sequences showed that the acI lineage can be grouped into three distinct monophyletic clades (acI-A, acI-B, and acI-C) and thirteen so-called</w:t>
      </w:r>
      <w:r>
        <w:t xml:space="preserve"> </w:t>
      </w:r>
      <w:r>
        <w:t xml:space="preserve">“</w:t>
      </w:r>
      <w:r>
        <w:t xml:space="preserve">tribes</w:t>
      </w:r>
      <w:r>
        <w:t xml:space="preserve">”</w:t>
      </w:r>
      <w:r>
        <w:t xml:space="preserve"> </w:t>
      </w:r>
      <w:r>
        <w:t xml:space="preserve">(28)</w:t>
      </w:r>
      <w:r>
        <w:t xml:space="preserve">. In this study, the phylogenetic tree also identified three monophyletic branches, enabling MAGs to be classified to clade and tribe level based on the taxonomy of SAGs within each branch (as determined by 16S rRNA gene sequences, either PCR amplified or assembled from the single cell). Note that three MAGs formed a monophyletic group separate from clades acI-A and acI-B; we assume these genomes belong to clade acI-C as no other acI clades have been identified to date.</w:t>
      </w:r>
    </w:p>
    <w:p>
      <w:pPr>
        <w:pStyle w:val="Heading2"/>
      </w:pPr>
      <w:bookmarkStart w:id="26" w:name="estimated-completeness-of-tribe--and-clade-level-composite-genomes"/>
      <w:bookmarkEnd w:id="26"/>
      <w:r>
        <w:t xml:space="preserve">Estimated Completeness of Tribe- and Clade-Level Composite Genomes</w:t>
      </w:r>
    </w:p>
    <w:p>
      <w:pPr>
        <w:pStyle w:val="FirstParagraph"/>
      </w:pPr>
      <w:r>
        <w:t xml:space="preserve">We constructed composite genomes from multiple SAGs and/or MAGs, to partially alleviate limitations presented by incomplete genomes. To do this, we first estimated the completeness of tribe- and clade-level composite genomes using single-copy marker genes. This allowed us to determine the finest level of taxonomic resolution at which we could confidently compute seed compounds, using genome completeness as a proxy for metabolic reaction network completeness (Figure S2). We deemed genomes to be nearly complete if they contained 95% of the lineage-specific marker genes. With the exception of tribe acI-B1, tribe-level composite genomes are estimated to be incomplete (Figure S2A). At the clade level, clades acI-A and acI-B are estimated to be nearly complete, while the acI-C composite genome remains incomplete, as it only contains 75% of the 204 marker genes (Figure S2B). As a result, seed compounds were calculated for composite clade-level genomes, with the understanding that some true seed compounds for the acI-C clade will not be predicted.</w:t>
      </w:r>
    </w:p>
    <w:p>
      <w:pPr>
        <w:pStyle w:val="Heading2"/>
      </w:pPr>
      <w:bookmarkStart w:id="27" w:name="computation-and-evaluation-of-potential-seed-compounds"/>
      <w:bookmarkEnd w:id="27"/>
      <w:r>
        <w:t xml:space="preserve">Computation and Evaluation of Potential Seed Compounds</w:t>
      </w:r>
    </w:p>
    <w:p>
      <w:pPr>
        <w:pStyle w:val="FirstParagraph"/>
      </w:pPr>
      <w:r>
        <w:t xml:space="preserve">Metabolic network reconstructions for each genome were built using KBase. Composite metabolic network graphs were then constructed for each tribe and clade by merging metabolic network reconstructions of individual genomes. Seed compounds for each clade were then computed from that clade’s composite metabolic network graph using a custom implementation of the seed set framework (Figure 2). A total of 125 unique seed compounds were identified across the three clades (Table S2).</w:t>
      </w:r>
    </w:p>
    <w:p>
      <w:pPr>
        <w:pStyle w:val="BodyText"/>
      </w:pPr>
      <w:r>
        <w:t xml:space="preserve">Because KBase is an automated annotation pipeline, the predicted set of seed compounds is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Of 125 unique compounds, 31 (79%) were retained in the final set of proposed auxotrophies and nutrients. Tables S3 and S4 contain this final set of compounds for clades acI-A, acI-B, and acI-C, and Figure 3 shows the auxotrophies and nutrients these compounds represent.</w:t>
      </w:r>
    </w:p>
    <w:p>
      <w:pPr>
        <w:pStyle w:val="Heading2"/>
      </w:pPr>
      <w:bookmarkStart w:id="28" w:name="making-sense-of-seed-compounds-via-protein-clustering-and-metatranscriptomic-mapping"/>
      <w:bookmarkEnd w:id="28"/>
      <w:r>
        <w:t xml:space="preserve">Making Sense of Seed Compounds via Protein Clustering and Metatranscriptomic Mapping</w:t>
      </w:r>
    </w:p>
    <w:p>
      <w:pPr>
        <w:pStyle w:val="FirstParagraph"/>
      </w:pPr>
      <w:r>
        <w:t xml:space="preserve">For seed compounds representing nutrient sources, genes associated with the consumption of these compounds should be expressed. To test this, we collected and sequenced four metatranscriptome samples from Lake Mendota (Dane County, WI, USA).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mapped the metatranscriptome reads to clusters of orthologous groups (COGs) within each clade. We used OrthoMCL</w:t>
      </w:r>
      <w:r>
        <w:t xml:space="preserve"> </w:t>
      </w:r>
      <w:r>
        <w:t xml:space="preserve">(29)</w:t>
      </w:r>
      <w:r>
        <w:t xml:space="preserve"> </w:t>
      </w:r>
      <w:r>
        <w:t xml:space="preserve">to identify COGs in the set of acI genomes, and counted each COG as present in a clade if that COG was present in at least one genome belonging to that clade. We then used BBMap to map metatranscriptome reads to our reference genome collection, and calculated gene expression for each COG on a Reads Per Kilobase Million (RPKM) basis (Figure 2).</w:t>
      </w:r>
    </w:p>
    <w:p>
      <w:pPr>
        <w:pStyle w:val="BodyText"/>
      </w:pPr>
      <w:r>
        <w:t xml:space="preserve">Sequencing of cDNA from all four rRNA-depleted metatranscriptome samples yielded approximately 160 million paired-end reads. After merging, filtering, and further</w:t>
      </w:r>
      <w:r>
        <w:t xml:space="preserve"> </w:t>
      </w:r>
      <w:r>
        <w:rPr>
          <w:i/>
        </w:rPr>
        <w:t xml:space="preserve">in-silico</w:t>
      </w:r>
      <w:r>
        <w:t xml:space="preserve"> </w:t>
      </w:r>
      <w:r>
        <w:t xml:space="preserve">rRNA removal, approximately 81 million, or 51% of the reads remained (Table S5). After mapping the metatranscriptomes to our acI genomes, we calculated the average coverage of each genome in our reference collection. Within each clade, the most abundant genome was detected with at least 16-fold coverage (Table S6).</w:t>
      </w:r>
    </w:p>
    <w:p>
      <w:pPr>
        <w:pStyle w:val="BodyText"/>
      </w:pPr>
      <w:r>
        <w:t xml:space="preserve">We then examined the number of metatranscriptomic reads that mapped to the COGs identified within each clade. OrthoMCL identified a total of 5013 protein clusters across the three clades (Table S7) with an average confidence of 84% in annotation for COGs containing more than one gene. The COGs were unequally distributed across the three clades, with clade acI-A genomes containing 3175 COGs (63%), clade acI-B genomes containing 3459 COGs (69%), and clade acI-C genomes containing 1365 COGs (27%). Of these, 525 COGs were expressed in clade acI-A, 661 in clade acI-B, and 813 in clade acI-C (Table S8). Among expressed genes, the median log2 RPKM value was 31.1 in clade acI-A, 32.0 in clade acI-B, and 69.4 in clade acI-C.</w:t>
      </w:r>
    </w:p>
    <w:p>
      <w:pPr>
        <w:pStyle w:val="Heading2"/>
      </w:pPr>
      <w:bookmarkStart w:id="29" w:name="auxotrophies-and-nutrient-sources-of-the-aci-lineage"/>
      <w:bookmarkEnd w:id="29"/>
      <w:r>
        <w:t xml:space="preserve">Auxotrophies and Nutrient Sources of the acI Lineage</w:t>
      </w:r>
    </w:p>
    <w:p>
      <w:pPr>
        <w:pStyle w:val="FirstParagraph"/>
      </w:pPr>
      <w:r>
        <w:t xml:space="preserve">Seed set analysis yielded seven auxotrophies that could be readily mapped to ecophysiological attributes of the acI lineage (Figure 3A and Table S3). In all three clades, beta-alanine was identified as a seed compound, suggesting an auxotrophy for pantothenic acid (Vitamin B5), a precursor to coenzyme A formed from beta-alanine and pantoate (Table S9).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 (Table S9).</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(Table S9). This cofactor plays an important role in the metabolism of amino acids and vitamins. In turn, clade acI-B was predicted to be auxotrophic for adenosylcobalamin (Vitamin B12), containing only four reactions from its biosynthetic pathway (Table S9). Finally, acI-C was predicted to be auxotrophic for the nucleotide uridine monophosphate (UMP, used as a monomer in RNA synthesis) and the amino acids lysine and homoserine. In all cases multiple enzymes for the biosynthesis of these compounds were not found in the acI-C genomes (Table S9).</w:t>
      </w:r>
    </w:p>
    <w:p>
      <w:pPr>
        <w:pStyle w:val="BodyText"/>
      </w:pPr>
      <w:r>
        <w:t xml:space="preserve">A number of seed compounds were also predicted to be degraded by members of the acI lineage (Figure 3B and Table S3). Both clades acI-A and acI-B were predicted to use D-altronate and trans-4-hydroxy proline as nutrients, and acI-B was additionally predicted to use glycine betaine.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S10 and S11),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clades acI-B and acI-C expressed two aminopeptidases, one of which was expressed at upwards of 175% of the median gene expression levels (Table S10). Clade acI-A expressed a third aminopeptidase at a lower level of 40% the median gene expression level (Table S10).</w:t>
      </w:r>
    </w:p>
    <w:p>
      <w:pPr>
        <w:pStyle w:val="BodyText"/>
      </w:pPr>
      <w:r>
        <w:t xml:space="preserve">All three clades were predicted to encode an alpha-glucosidase, which in Lake Mendota was only expressed in clades acI-B and acI-C, at upwards of 60% of the median gene expression level (Table S11). All three clades also encode a beta-glucosidase, but it was not expressed in our samples. Furthermore, all three clades encode an alpha-galactosidase and multiple maltodextrin glucosidases (which free maltose from maltotriose), but these were only expressed in clades acI-A and acI-C. The alpha-galactosidase had a log2 RPKM expression value of 1.5 times the median in clade acI-C, while the maltodextrin glucosidases were expressed at approximately 30% of the median (Table S11) in both clades acI-A and acI-C.</w:t>
      </w:r>
    </w:p>
    <w:p>
      <w:pPr>
        <w:pStyle w:val="Heading2"/>
      </w:pPr>
      <w:bookmarkStart w:id="30" w:name="compounds-transported-by-the-aci-lineage"/>
      <w:bookmarkEnd w:id="30"/>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4, Tables S12 and S13, and the Supplemental Text S1). Consistent with the presence of peptidases, all clades contain numerous genes for the transport of peptides and amino acids, including putative oligopeptide and branched-chain amino acid transporters, as well as putative transporters for the polyamines spermidine and putrescine. All clades also contain a putative transporter for ammonium. The ammonium, branched-chain amino acid, and oligopeptide transporters had expression values above the median, with expression values for the substrate-binding protein (of the ATP-binding cassette (ABC) transporters) ranging from 1.7 to 411 times the median (Table S13). In contrast, while all clades expressed some genes from the polyamine transporters, only clade acI-B expressed the binding protein, at approximately 27.8 times the median (Table S13). Finally, clades acI-A and acI-B also contain a putative transporter for glycine betaine, which was only expressed in clade acI-A, at approximately 9.6 times the median (Table S13). However, we cannot rule out the possibility that the expression of these transporters changes with space and time, and that all three clades may express these enzymes under a different condition.</w:t>
      </w:r>
    </w:p>
    <w:p>
      <w:pPr>
        <w:pStyle w:val="BodyText"/>
      </w:pPr>
      <w:r>
        <w:t xml:space="preserve">All clades also expressed transporters consistent with the presence of glycoside hydrolases, including transporters annotated as putative maltose, xylose, and ribose ABC-type transporters, which may indicate that acI bacteria are capable of transporting sugars, including both di- (maltose) and mono-saccharides (xylose and ribose). Of these, the putative maltose transporter was most highly expressed (but only in clades acI-A and acI-B), with expression values for the substrate-binding protein ranging in excess of 40 times the median (Table S13).</w:t>
      </w:r>
    </w:p>
    <w:p>
      <w:pPr>
        <w:pStyle w:val="BodyText"/>
      </w:pPr>
      <w:r>
        <w:t xml:space="preserve">Representatives from the acI lineage also encode and expressed a number of transporters that do not have corresponding seed compounds, including potential nucleobase and purine/pyrimidine transporters (annotated as a uracil and a xanthine/uracil/thiamine/ascorbate family permease, respectively). Both of these are expressed in all three clades, with expression values ranging from 4.7 to 46 times the median (Table S13). Clades acI-A and acI-B also contain a second potential purine/pyrimidine transporter (annotated as a cytosine/purine/uracil/thiamine/allantoin family permease), which was only expressed in clade acI-B (Table S13). These transporters may be responsible for the uptake of the seed compounds UMP (a pyrimidine derivative) and Vitamin B1 (also known as thiamine). In addition, clade acI-A contains but did not express a putative transporter for cobalamin (Vitamin B12), and both clades acI-A and acI-B contain but did not express transporters for thiamin (Vitamin B1) and biotin (Vitamin B7) (Table S13).</w:t>
      </w:r>
    </w:p>
    <w:p>
      <w:pPr>
        <w:pStyle w:val="BodyText"/>
      </w:pPr>
      <w:r>
        <w:t xml:space="preserve">Finally, all three clades expressed actinorhodopsin, a light-sensitive protein that is expected to function as a proton efflux pump</w:t>
      </w:r>
      <w:r>
        <w:t xml:space="preserve"> </w:t>
      </w:r>
      <w:r>
        <w:t xml:space="preserve">(30)</w:t>
      </w:r>
      <w:r>
        <w:t xml:space="preserve">. In all clades, actinorhodopsin was among the top ten most highly-expressed genes (Table S7), with expression values in excess of 84 times the median in all three clades (Table S7). Given that many of the transport proteins are ABC transporters, we speculate that actinorhodopsin may facilitate maintenance of the proton gradient necessary for ATP synthesis. Coupled with high expression levels of diverse transporters, this result strongly suggests that acI functions as a photoheterotroph. However, it remains to be seen if this behavior is a general feature of acI physiology or restricted to the specific conditions of the lake and our sampling period.</w:t>
      </w:r>
    </w:p>
    <w:p>
      <w:pPr>
        <w:pStyle w:val="Heading1"/>
      </w:pPr>
      <w:bookmarkStart w:id="31" w:name="discussion"/>
      <w:bookmarkEnd w:id="31"/>
      <w:r>
        <w:t xml:space="preserve">Discussion</w:t>
      </w:r>
    </w:p>
    <w:p>
      <w:pPr>
        <w:pStyle w:val="FirstParagraph"/>
      </w:pPr>
      <w:r>
        <w:t xml:space="preserve">This study uses high-throughput metabolic network reconstruction and the seed set framework to predict auxotrophies and nutrient sources of uncultivated microorganisms from incomplete genome sequences. The computational approach easily scales to hundreds of metabolic reconstructions, and enables a targeted analysis by identifying those compounds through which an organism interacts with its environment. However, predicted seed compounds are sensitive to the metabolic network structure, and analyzing the results requires significant manual curation of the metabolic reconstruction and accurate interpretation of the underlying gene annotations. As a consequence, the seed set framework as not as high-throughput as initially envisioned, but is nevertheless suitable for analysis of microorganisms with high-quality metabolic network reconstructions.</w:t>
      </w:r>
    </w:p>
    <w:p>
      <w:pPr>
        <w:pStyle w:val="BodyText"/>
      </w:pPr>
      <w:r>
        <w:t xml:space="preserve">Our predictions of substrate use capabilities of the acI lineage are largely congruent with previous genome-centric studies based on smaller but manually curated genome collections</w:t>
      </w:r>
      <w:r>
        <w:t xml:space="preserve"> </w:t>
      </w:r>
      <w:r>
        <w:t xml:space="preserve">(22, 25, 27)</w:t>
      </w:r>
      <w:r>
        <w:t xml:space="preserve">, indicating that the use of automatic metabolic network reconstructions yields similar predictions to comparatively more manual metabolic reconstruction efforts, while being both more high-throughput and focused on an organism’s substrate utilization capabilities. In particular, this study predicts that the consumption of N-rich compounds is a universal feature of the acI lineage, with all three clades predicted to consume ammonium, branched-chain amino acids, polyamines, and di- and oligopeptides. These findings agree with MAR-FISH studies that confirm the ability of acI bacteria to consume a variety of amino acids</w:t>
      </w:r>
      <w:r>
        <w:t xml:space="preserve"> </w:t>
      </w:r>
      <w:r>
        <w:t xml:space="preserve">(20, 23)</w:t>
      </w:r>
      <w:r>
        <w:t xml:space="preserve">. Furthermore, the presence of alpha- and beta-glucosidases are consistent with observations that acI bacteria consume glucose</w:t>
      </w:r>
      <w:r>
        <w:t xml:space="preserve"> </w:t>
      </w:r>
      <w:r>
        <w:t xml:space="preserve">(19, 23)</w:t>
      </w:r>
      <w:r>
        <w:t xml:space="preserve">, even though no obvious glucose transport system was found in the genomes. Because transport proteins are often capable of acting on multiple substrates, one of the putative sugar transporters may be responsible for glucose uptake activity.</w:t>
      </w:r>
    </w:p>
    <w:p>
      <w:pPr>
        <w:pStyle w:val="BodyText"/>
      </w:pPr>
      <w:r>
        <w:t xml:space="preserve">However, our approach failed to recapitulate other genomic and experimental observations, including the uptake of N-acetylglucosamine (NAG)</w:t>
      </w:r>
      <w:r>
        <w:t xml:space="preserve"> </w:t>
      </w:r>
      <w:r>
        <w:t xml:space="preserve">(31–33)</w:t>
      </w:r>
      <w:r>
        <w:t xml:space="preserve">, the deoxynucleoside thymidine</w:t>
      </w:r>
      <w:r>
        <w:t xml:space="preserve"> </w:t>
      </w:r>
      <w:r>
        <w:t xml:space="preserve">(23, 34)</w:t>
      </w:r>
      <w:r>
        <w:t xml:space="preserve">, and acetate</w:t>
      </w:r>
      <w:r>
        <w:t xml:space="preserve"> </w:t>
      </w:r>
      <w:r>
        <w:t xml:space="preserve">(19)</w:t>
      </w:r>
      <w:r>
        <w:t xml:space="preserve">, and the potential to hydrolyze the cyanobacterial peptide cyanophycin via the enzyme cyanophycinase</w:t>
      </w:r>
      <w:r>
        <w:t xml:space="preserve"> </w:t>
      </w:r>
      <w:r>
        <w:t xml:space="preserve">(22, 25)</w:t>
      </w:r>
      <w:r>
        <w:t xml:space="preserve">. Inspection of these discrepancies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itself. Thymidine and acetate fall into this category. Second, automatic metabolic network reconstructions may not fully capture an organism’s metabolic network (e.g., due to missing or incorrect genome annotations). Manual inspection of the previously-identified cyanophycinase gene revealed that KBase annotated this putative enzyme as a hypothetical protein.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adenosylcobalamin (Vitamin B12, clade acI-B), and lysine, homoserine, and UMP (clade acI-C). However, with the exception of adenosylcobalamin, we did not identify transporters for any of these compounds. This negative result may reflect our limited knowledge of transport proteins</w:t>
      </w:r>
      <w:r>
        <w:t xml:space="preserve"> </w:t>
      </w:r>
      <w:r>
        <w:t xml:space="preserve">(35)</w:t>
      </w:r>
      <w:r>
        <w:t xml:space="preserve">: transporters for these compounds may yet be present in the genomes, or one or more of the predicted transporters may act on these compounds. Furthermore, because the acI-C composite genome was estimated to be around 75% complete, we cannot rule out the possibility that the missing genes might be found in this clade when additional genomes are recovered. Nonetheless, these results provide additional support to the hypothesis that distributed metabolic pathways and metabolic complementarity may be common features of freshwater bacterial communities</w:t>
      </w:r>
      <w:r>
        <w:t xml:space="preserve"> </w:t>
      </w:r>
      <w:r>
        <w:t xml:space="preserve">(36, 37)</w:t>
      </w:r>
      <w:r>
        <w:t xml:space="preserve">.</w:t>
      </w:r>
    </w:p>
    <w:p>
      <w:pPr>
        <w:pStyle w:val="BodyText"/>
      </w:pPr>
      <w:r>
        <w:t xml:space="preserve">Combined, these results suggest that acI are photoheterotrophs, making a living on a diverse array of N-rich compounds, saccharides, and light. The acI lineage does not appear to be metabolically self-sufficient, and may participate in the turnover of high molecular weight dissolved organic compounds, such as starch, glycogen, and cellulose. Metatranscriptomic analysis showed that transport proteins were among the most highly expressed in the acI genomes, and the expression of multiple putative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Finally, the fragmented and incomplete nature of SAGs and MAGs required us to construct composite genomes for individual acI clades by leveraging multiple genomes from closely related populations. Such an approach limits the resolution of predictions, as we cannot make predictions at the level of tribes, smaller populations, or individual cells. Thus, metabolic diversification at these taxonomic levels will be missed. Constructing composite genomes may also overestimate the metabolic capabilities of a clade or group: for example, if a complete pathway is present in a clade but distributed among different tribes, the clade will only be able to carry out the entire pathway</w:t>
      </w:r>
      <w:r>
        <w:t xml:space="preserve"> </w:t>
      </w:r>
      <w:r>
        <w:rPr>
          <w:i/>
        </w:rPr>
        <w:t xml:space="preserve">in situ</w:t>
      </w:r>
      <w:r>
        <w:t xml:space="preserve"> </w:t>
      </w:r>
      <w:r>
        <w:t xml:space="preserve">if all tribes are present in close enough proximity to exchange pathway intermediates. Nonetheless, the seed set approach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Heading1"/>
      </w:pPr>
      <w:bookmarkStart w:id="32" w:name="materials-and-methods"/>
      <w:bookmarkEnd w:id="32"/>
      <w:r>
        <w:t xml:space="preserve">Materials and Methods</w:t>
      </w:r>
    </w:p>
    <w:p>
      <w:pPr>
        <w:pStyle w:val="Heading2"/>
      </w:pPr>
      <w:bookmarkStart w:id="33" w:name="a-freshwater-reference-genome-collection"/>
      <w:bookmarkEnd w:id="33"/>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(27, 38)</w:t>
      </w:r>
      <w:r>
        <w:t xml:space="preserve">, as well as SAGs from three lakes in the United States</w:t>
      </w:r>
      <w:r>
        <w:t xml:space="preserve"> </w:t>
      </w:r>
      <w:r>
        <w:t xml:space="preserve">(21)</w:t>
      </w:r>
      <w:r>
        <w:t xml:space="preserve">. Additional information about this genome collection can be found in the Supplemental Text S1.</w:t>
      </w:r>
    </w:p>
    <w:p>
      <w:pPr>
        <w:pStyle w:val="Heading2"/>
      </w:pPr>
      <w:bookmarkStart w:id="34" w:name="metatranscriptome-sampling-and-sequencing"/>
      <w:bookmarkEnd w:id="34"/>
      <w:r>
        <w:t xml:space="preserve">Metatranscriptome Sampling and Sequencing</w:t>
      </w:r>
    </w:p>
    <w:p>
      <w:pPr>
        <w:pStyle w:val="FirstParagraph"/>
      </w:pPr>
      <w:r>
        <w:t xml:space="preserve">This study used four metatranscriptomes obtained as part of a larger study of gene expression in freshwater microbial communities. Additional information about these samples can be found in the Supplemental Text S1. All protocols and scripts for sample collection, RNA extraction, rRNA depletion, sequencing, and bioinformatic analysis can be found on Github (https://github.com/McMahonLab/OMD-TOIL, DOI:######). Metadata for the four samples used in this study can be found in Table S6, and the raw RNA sequences can be found on the National Center for Biotechnology Information’s Sequence Read Archive (SRA) under BioProject PRJNA362825.</w:t>
      </w:r>
    </w:p>
    <w:p>
      <w:pPr>
        <w:pStyle w:val="Heading2"/>
      </w:pPr>
      <w:bookmarkStart w:id="35" w:name="identification-of-aci-sags-and-actinobacterial-mags"/>
      <w:bookmarkEnd w:id="35"/>
      <w:r>
        <w:t xml:space="preserve">Identification of acI SAGs and Actinobacterial MAGs</w:t>
      </w:r>
    </w:p>
    <w:p>
      <w:pPr>
        <w:pStyle w:val="FirstParagraph"/>
      </w:pPr>
      <w:r>
        <w:t xml:space="preserve">The acI were previously phylogenetically divided into three clades (acI-A, acI-B, and acI-C) and thirteen tribes on the basis of their 16S rRNA gene sequences</w:t>
      </w:r>
      <w:r>
        <w:t xml:space="preserve"> </w:t>
      </w:r>
      <w:r>
        <w:t xml:space="preserve">(28)</w:t>
      </w:r>
      <w:r>
        <w:t xml:space="preserve">. The acI SAGs were identified within a previously-published genome collection</w:t>
      </w:r>
      <w:r>
        <w:t xml:space="preserve"> </w:t>
      </w:r>
      <w:r>
        <w:t xml:space="preserve">(21)</w:t>
      </w:r>
      <w:r>
        <w:t xml:space="preserve"> </w:t>
      </w:r>
      <w:r>
        <w:t xml:space="preserve">and classified to the tribe level using partial 16S rRNA genes and a reference taxonomy for freshwater bacteria, as described in the Supplemental Text S1. Actinobacterial MAGs were identified within two metagenomic time-series</w:t>
      </w:r>
      <w:r>
        <w:t xml:space="preserve"> </w:t>
      </w:r>
      <w:r>
        <w:t xml:space="preserve">(27, 38)</w:t>
      </w:r>
      <w:r>
        <w:t xml:space="preserve"> </w:t>
      </w:r>
      <w:r>
        <w:t xml:space="preserve">using taxonomic assignments from a subset of conserved marker genes, as described in the Supplemental Text S1. Phylogenetic analysis of acI SAGs and Actinobacterial MAGs was performed using a concatenated alignment of single-copy marker genes obtained via Phylosift</w:t>
      </w:r>
      <w:r>
        <w:t xml:space="preserve"> </w:t>
      </w:r>
      <w:r>
        <w:t xml:space="preserve">(39)</w:t>
      </w:r>
      <w:r>
        <w:t xml:space="preserve">. Maximum likelihood trees were generated using RAxML</w:t>
      </w:r>
      <w:r>
        <w:t xml:space="preserve"> </w:t>
      </w:r>
      <w:r>
        <w:t xml:space="preserve">(40)</w:t>
      </w:r>
      <w:r>
        <w:t xml:space="preserve"> </w:t>
      </w:r>
      <w:r>
        <w:t xml:space="preserve">using the automatic protein model assignment option (PROTGAMMAAUTO) and 100 bootstraps.</w:t>
      </w:r>
    </w:p>
    <w:p>
      <w:pPr>
        <w:pStyle w:val="Heading2"/>
      </w:pPr>
      <w:bookmarkStart w:id="36" w:name="genome-annotation-metabolic-network-reconstruction-and-computation-and-evaluation-of-seed-compounds"/>
      <w:bookmarkEnd w:id="36"/>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(41)</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(42, 43)</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(44)</w:t>
      </w:r>
      <w:r>
        <w:t xml:space="preserve"> </w:t>
      </w:r>
      <w:r>
        <w:t xml:space="preserve">to build a draft metabolic model. No gap-filling was performed, to ensure that the reconstructions only contained reactions with genomic evidence. These reconstructions were then pruned (currency metabolites and highly-connected compounds) and converted to metabolic network graphs (Figure S3 and Supplemental Text S1). Many of the individual acI genomes are incomplete. Therefore, composite metabolic network graphs were constructed for each tribe and clade, to increase the accuracy of seed identification by means of a more complete metabolic network (Figure S4 and Supplemental Text S1).</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(1)</w:t>
      </w:r>
      <w:r>
        <w:t xml:space="preserve">. Seed compounds for each composite metabolic network graph were calculated using a new Python implementation of the seed set framework</w:t>
      </w:r>
      <w:r>
        <w:t xml:space="preserve"> </w:t>
      </w:r>
      <w:r>
        <w:t xml:space="preserve">(1)</w:t>
      </w:r>
      <w:r>
        <w:t xml:space="preserve"> </w:t>
      </w:r>
      <w:r>
        <w:t xml:space="preserve">(Figure S5 and the Supplemental Text S1). Because seed compounds are computed from a metabolic network, it is important to manually evaluate all predicted seed compounds to identify those that may be biologically meaningful, and do not arise from errors in the metabolic network reconstruction.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(compounds used to carry electrons and functional groups) were also removed, as reactions for the synthesis of these compounds may have been removed during network pruning.</w:t>
      </w:r>
    </w:p>
    <w:p>
      <w:pPr>
        <w:pStyle w:val="BodyText"/>
      </w:pPr>
      <w:r>
        <w:t xml:space="preserve">The Supplemental Text S1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w:t>
      </w:r>
    </w:p>
    <w:p>
      <w:pPr>
        <w:pStyle w:val="BodyText"/>
      </w:pPr>
      <w:r>
        <w:t xml:space="preserve">All computational steps were implemented using Python scripts, freely available as part of the reverseEcology Python package developed for this project (https://pypi.python.org/pypi/reverseEcology/, DOI:######).</w:t>
      </w:r>
    </w:p>
    <w:p>
      <w:pPr>
        <w:pStyle w:val="Heading2"/>
      </w:pPr>
      <w:bookmarkStart w:id="37" w:name="identification-of-transported-compounds"/>
      <w:bookmarkEnd w:id="37"/>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 Only transporters with &gt;50% confidence in the substrate-binding subunit were retained. Because identification and annotation of transport proteins is an active area of research</w:t>
      </w:r>
      <w:r>
        <w:t xml:space="preserve"> </w:t>
      </w:r>
      <w:r>
        <w:t xml:space="preserve">(35)</w:t>
      </w:r>
      <w:r>
        <w:t xml:space="preserve">, substrates for each transporter are described as putative and acting on molecular classes (e.g., saccharide, amino acid) instead of specific compounds, to better reflect the promiscuity of transport proteins and the ambiguity of their annotation.</w:t>
      </w:r>
    </w:p>
    <w:p>
      <w:pPr>
        <w:pStyle w:val="Heading2"/>
      </w:pPr>
      <w:bookmarkStart w:id="38" w:name="protein-clustering-metatranscriptomic-mapping-and-clade-level-gene-expression"/>
      <w:bookmarkEnd w:id="38"/>
      <w:r>
        <w:t xml:space="preserve">Protein Clustering, Metatranscriptomic Mapping, and Clade-Level Gene Expression</w:t>
      </w:r>
    </w:p>
    <w:p>
      <w:pPr>
        <w:pStyle w:val="FirstParagraph"/>
      </w:pPr>
      <w:r>
        <w:t xml:space="preserve">OrthoMCL</w:t>
      </w:r>
      <w:r>
        <w:t xml:space="preserve"> </w:t>
      </w:r>
      <w:r>
        <w:t xml:space="preserve">(29)</w:t>
      </w:r>
      <w:r>
        <w:t xml:space="preserve"> </w:t>
      </w:r>
      <w:r>
        <w:t xml:space="preserve">was used to identify clusters of orthologous groups (COGs) in the set of acI genomes. Both OrthoMCL and BLAST were run using default options</w:t>
      </w:r>
      <w:r>
        <w:t xml:space="preserve"> </w:t>
      </w:r>
      <w:r>
        <w:t xml:space="preserve">(45)</w:t>
      </w:r>
      <w:r>
        <w:t xml:space="preserve">. Annotations were assigned to protein clusters by choosing the most common annotation among all genes assigned to the respective cluster and a confidence score assigned to each COG (fraction of genes having the most common annotation). Trimmed and merged metatranscriptomic reads from each of the four biological samples were then pooled and mapped to a single reference fasta file containing all acI genomes using BBMap (https://sourceforge.net/projects/bbmap/)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(46)</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(47)</w:t>
      </w:r>
      <w:r>
        <w:t xml:space="preserve"> </w:t>
      </w:r>
      <w:r>
        <w:t xml:space="preserve">was run using the</w:t>
      </w:r>
      <w:r>
        <w:t xml:space="preserve"> </w:t>
      </w:r>
      <w:r>
        <w:rPr>
          <w:i/>
        </w:rPr>
        <w:t xml:space="preserve">intersection_strict</w:t>
      </w:r>
      <w:r>
        <w:t xml:space="preserve"> </w:t>
      </w:r>
      <w:r>
        <w:t xml:space="preserve">option to count the total number of reads that map to each gene in our acI genome collection. After mapping, the list of counts was filtered to remove those genes that did not recruit at least ten reads.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(48)</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normalized to the median level of gene expression within that clade. Finally, the expression data (mapping of transcript reads to genes) were visualized to ensure RPKM calculations were based on continuous transcription of each gene.</w:t>
      </w:r>
    </w:p>
    <w:p>
      <w:pPr>
        <w:pStyle w:val="Heading2"/>
      </w:pPr>
      <w:bookmarkStart w:id="39" w:name="availability-of-data-and-materials"/>
      <w:bookmarkEnd w:id="39"/>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40" w:name="acknowledgements"/>
      <w:bookmarkEnd w:id="40"/>
      <w:r>
        <w:t xml:space="preserve">Acknowledgements</w:t>
      </w:r>
    </w:p>
    <w:p>
      <w:pPr>
        <w:pStyle w:val="FirstParagraph"/>
      </w:pPr>
      <w:r>
        <w:t xml:space="preserve">We thank past and present members of the McMahon lab for collecting water samples for DNA and RNA sequencing and Frank Aylward for guidance on metatranscriptomic analysis. DNA sequencing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 The funders had no role in study design, data collection and interpretation, or the decision to submit the work for publication.</w:t>
      </w:r>
    </w:p>
    <w:p>
      <w:pPr>
        <w:pStyle w:val="Heading1"/>
      </w:pPr>
      <w:bookmarkStart w:id="41" w:name="conflict-of-interest"/>
      <w:bookmarkEnd w:id="41"/>
      <w:r>
        <w:t xml:space="preserve">Conflict of Interest</w:t>
      </w:r>
    </w:p>
    <w:p>
      <w:pPr>
        <w:pStyle w:val="FirstParagraph"/>
      </w:pPr>
      <w:r>
        <w:t xml:space="preserve">The authors declare no conflict of interest.</w:t>
      </w:r>
    </w:p>
    <w:p>
      <w:pPr>
        <w:pStyle w:val="Heading1"/>
      </w:pPr>
      <w:bookmarkStart w:id="42" w:name="figure-legends"/>
      <w:bookmarkEnd w:id="42"/>
      <w:r>
        <w:t xml:space="preserve">Figure Legends</w:t>
      </w:r>
    </w:p>
    <w:p>
      <w:pPr>
        <w:pStyle w:val="FirstParagraph"/>
      </w:pPr>
      <w:r>
        <w:t xml:space="preserve"> </w:t>
      </w:r>
    </w:p>
    <w:p>
      <w:pPr>
        <w:pStyle w:val="Heading2"/>
      </w:pPr>
      <w:bookmarkStart w:id="43" w:name="figure-1-figuresfig1-treefigure1.pdf"/>
      <w:bookmarkEnd w:id="43"/>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(40)</w:t>
      </w:r>
      <w:r>
        <w:t xml:space="preserve"> </w:t>
      </w:r>
      <w:r>
        <w:t xml:space="preserve">from a concatenated alignment of protein sequences from 37 single-copy marker genes</w:t>
      </w:r>
      <w:r>
        <w:t xml:space="preserve"> </w:t>
      </w:r>
      <w:r>
        <w:t xml:space="preserve">(39)</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 Supplementary Figure S1 shows the position of the acI lineage relative to other orders within the class Actinobacteria.</w:t>
      </w:r>
    </w:p>
    <w:p>
      <w:pPr>
        <w:pStyle w:val="BodyText"/>
      </w:pPr>
      <w:r>
        <w:t xml:space="preserve"> </w:t>
      </w:r>
    </w:p>
    <w:p>
      <w:pPr>
        <w:pStyle w:val="Heading2"/>
      </w:pPr>
      <w:bookmarkStart w:id="44" w:name="figure-2-figuresfig2-workflowfigure2.pdf"/>
      <w:bookmarkEnd w:id="44"/>
      <w:r>
        <w:t xml:space="preserve">Figure 2 (figures/fig2-workflow/Figure2.pdf)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S2.</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S3, S4, and S5.</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w:t>
      </w:r>
      <w:r>
        <w:t xml:space="preserve"> </w:t>
      </w:r>
      <w:hyperlink r:id="rId45">
        <w:r>
          <w:rPr>
            <w:rStyle w:val="Hyperlink"/>
          </w:rPr>
          <w:t xml:space="preserve">BBMap</w:t>
        </w:r>
      </w:hyperlink>
      <w:r>
        <w:t xml:space="preserve">. Orthologous gene clusters are identified using OrthoMCL</w:t>
      </w:r>
      <w:r>
        <w:t xml:space="preserve"> </w:t>
      </w:r>
      <w:r>
        <w:t xml:space="preserve">(29)</w:t>
      </w:r>
      <w:r>
        <w:t xml:space="preserve">. For each cluster, unique reads which map to any gene within that cluster are counted using HTSeq</w:t>
      </w:r>
      <w:r>
        <w:t xml:space="preserve"> </w:t>
      </w:r>
      <w:r>
        <w:t xml:space="preserve">(47)</w:t>
      </w:r>
      <w:r>
        <w:t xml:space="preserve">. The relative gene expression is computed using RPKM</w:t>
      </w:r>
      <w:r>
        <w:t xml:space="preserve"> </w:t>
      </w:r>
      <w:r>
        <w:t xml:space="preserve">(48)</w:t>
      </w:r>
      <w:r>
        <w:t xml:space="preserve">.</w:t>
      </w:r>
    </w:p>
    <w:p>
      <w:pPr>
        <w:pStyle w:val="BodyText"/>
      </w:pPr>
      <w:r>
        <w:t xml:space="preserve"> </w:t>
      </w:r>
    </w:p>
    <w:p>
      <w:pPr>
        <w:pStyle w:val="Heading2"/>
      </w:pPr>
      <w:bookmarkStart w:id="46" w:name="figure-3-figuresfig3-seedsfigure3.pdf"/>
      <w:bookmarkEnd w:id="46"/>
      <w:r>
        <w:t xml:space="preserve">Figure 3 (figures/fig3-seeds/Figure3.pdf)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47" w:name="figure-4-figuresfig4-transportersfigure4.pdf"/>
      <w:bookmarkEnd w:id="47"/>
      <w:r>
        <w:t xml:space="preserve">Figure 4 (figures/fig4-transporters/Figure4.pdf)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log2 RPKM of the encoding gene cluster. For multi-subunit transporters, the RPKM of the substrate-binding subunit was chosen (Table S13). For some transporters, consensus annotations have been replaced with broad metabolite classes. Such metabolite classes are indicated with superscripts, and the original annotations are as follows: 1 - spermidine, putrescine; 2 - maltose ; 3 - xylose; 4 - ribose; 5 - uracil; 6 - cytosine / purine / uracil / thiamine / allantoin; 7 - xanthine / uracil / thiamine / ascorbate.</w:t>
      </w:r>
    </w:p>
    <w:p>
      <w:pPr>
        <w:pStyle w:val="BodyText"/>
      </w:pPr>
      <w:r>
        <w:t xml:space="preserve"> </w:t>
      </w:r>
    </w:p>
    <w:p>
      <w:pPr>
        <w:pStyle w:val="Heading1"/>
      </w:pPr>
      <w:bookmarkStart w:id="48" w:name="supplementary-material-legends"/>
      <w:bookmarkEnd w:id="48"/>
      <w:r>
        <w:t xml:space="preserve">Supplementary Material Legends</w:t>
      </w:r>
    </w:p>
    <w:p>
      <w:pPr>
        <w:pStyle w:val="FirstParagraph"/>
      </w:pPr>
      <w:r>
        <w:t xml:space="preserve"> </w:t>
      </w:r>
    </w:p>
    <w:p>
      <w:pPr>
        <w:pStyle w:val="Heading2"/>
      </w:pPr>
      <w:bookmarkStart w:id="49" w:name="supplementary-figure-1-figuresfig1-treefigures1.pdf"/>
      <w:bookmarkEnd w:id="49"/>
      <w:r>
        <w:t xml:space="preserve">Supplementary Figure 1 (figures/fig1-tree/FigureS1.pdf)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(49)</w:t>
      </w:r>
      <w:r>
        <w:t xml:space="preserve"> </w:t>
      </w:r>
      <w:r>
        <w:t xml:space="preserve">(Table S19). The tree was built using RAxML</w:t>
      </w:r>
      <w:r>
        <w:t xml:space="preserve"> </w:t>
      </w:r>
      <w:r>
        <w:t xml:space="preserve">(40)</w:t>
      </w:r>
      <w:r>
        <w:t xml:space="preserve"> </w:t>
      </w:r>
      <w:r>
        <w:t xml:space="preserve">from a concatenated alignment of protein sequences from 37 single-copy marker genes</w:t>
      </w:r>
      <w:r>
        <w:t xml:space="preserve"> </w:t>
      </w:r>
      <w:r>
        <w:t xml:space="preserve">(39)</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w:t>
      </w:r>
    </w:p>
    <w:p>
      <w:pPr>
        <w:pStyle w:val="BodyText"/>
      </w:pPr>
      <w:r>
        <w:t xml:space="preserve"> </w:t>
      </w:r>
    </w:p>
    <w:p>
      <w:pPr>
        <w:pStyle w:val="Heading2"/>
      </w:pPr>
      <w:bookmarkStart w:id="50" w:name="supplementary-figure-2-figuresfigs-samplingfigures1.pdf"/>
      <w:bookmarkEnd w:id="50"/>
      <w:r>
        <w:t xml:space="preserve">Supplementary Figure 2 (figures/figS-sampling/FigureS1.pdf)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(50)</w:t>
      </w:r>
      <w:r>
        <w:t xml:space="preserve">. Error bars represent the 95% confidence interval estimated from 1000 iterations.</w:t>
      </w:r>
    </w:p>
    <w:p>
      <w:pPr>
        <w:pStyle w:val="BodyText"/>
      </w:pPr>
      <w:r>
        <w:t xml:space="preserve"> </w:t>
      </w:r>
    </w:p>
    <w:p>
      <w:pPr>
        <w:pStyle w:val="Heading2"/>
      </w:pPr>
      <w:bookmarkStart w:id="51" w:name="supplementary-figure-3-figuresfig2-workflowfigures3.pdf"/>
      <w:bookmarkEnd w:id="51"/>
      <w:r>
        <w:t xml:space="preserve">Supplementary Figure 3 (figures/fig2-workflow/FigureS3.pdf)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(51)</w:t>
      </w:r>
      <w:r>
        <w:t xml:space="preserve">.</w:t>
      </w:r>
    </w:p>
    <w:p>
      <w:pPr>
        <w:pStyle w:val="BodyText"/>
      </w:pPr>
      <w:r>
        <w:t xml:space="preserve"> </w:t>
      </w:r>
    </w:p>
    <w:p>
      <w:pPr>
        <w:pStyle w:val="Heading2"/>
      </w:pPr>
      <w:bookmarkStart w:id="52" w:name="supplementary-figure-4-figuresfig2-workflowfigures4.pdf"/>
      <w:bookmarkEnd w:id="52"/>
      <w:r>
        <w:t xml:space="preserve">Supplementary Figure 4 (figures/fig2-workflow/FigureS4.pdf)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53" w:name="supplementary-figure-5-figuresfig2-workflowfigures5.pdf"/>
      <w:bookmarkEnd w:id="53"/>
      <w:r>
        <w:t xml:space="preserve">Supplementary Figure 5 (figures/fig2-workflow/FigureS5.pdf)</w:t>
      </w:r>
    </w:p>
    <w:p>
      <w:pPr>
        <w:pStyle w:val="FirstParagraph"/>
      </w:pPr>
      <w:r>
        <w:t xml:space="preserve"> </w:t>
      </w:r>
    </w:p>
    <w:p>
      <w:pPr>
        <w:pStyle w:val="BodyText"/>
      </w:pPr>
      <w:r>
        <w:t xml:space="preserve">Identifying seed compounds in metabolic networks, using the same metabolic network as in Supplementary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54" w:name="supplementary-figure-6-figuresfig2-workflowfigures6.pdf"/>
      <w:bookmarkEnd w:id="54"/>
      <w:r>
        <w:t xml:space="preserve">Supplementary Figure 6 (figures/fig2-workflow/FigureS6.pdf)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Heading2"/>
      </w:pPr>
      <w:bookmarkStart w:id="55" w:name="supplementary-tables-manuscripthamilton_aci_2017_tables.xlsx"/>
      <w:bookmarkEnd w:id="55"/>
      <w:r>
        <w:t xml:space="preserve">Supplementary Tables (manuscript/Hamilton_acI_2017_Tables.xlsx)</w:t>
      </w:r>
    </w:p>
    <w:p>
      <w:pPr>
        <w:pStyle w:val="FirstParagraph"/>
      </w:pPr>
      <w:r>
        <w:t xml:space="preserve"> </w:t>
      </w:r>
    </w:p>
    <w:p>
      <w:pPr>
        <w:pStyle w:val="BodyText"/>
      </w:pPr>
      <w:r>
        <w:t xml:space="preserve">Supplementary Tables S1 to S19.</w:t>
      </w:r>
    </w:p>
    <w:p>
      <w:pPr>
        <w:pStyle w:val="Heading1"/>
      </w:pPr>
      <w:bookmarkStart w:id="56" w:name="references"/>
      <w:bookmarkEnd w:id="56"/>
      <w:r>
        <w:t xml:space="preserve">References</w:t>
      </w:r>
    </w:p>
    <w:p>
      <w:pPr>
        <w:pStyle w:val="Bibliography"/>
      </w:pPr>
      <w:r>
        <w:t xml:space="preserve">1. Borenstein E, Kupiec M, Feldman MW, Ruppin E. 2008. Large-scale reconstruction and phylogenetic analysis of metabolic environments. Proceedings of the National Academy of Sciences 105:14482–14487.</w:t>
      </w:r>
    </w:p>
    <w:p>
      <w:pPr>
        <w:pStyle w:val="Bibliography"/>
      </w:pPr>
      <w:r>
        <w:t xml:space="preserve">2. Falkowski PG, Fenchel T, Delong EF. 2008. The microbial engines that drive Earth’s biogeochemical cycles. Science 320:1034–1039.</w:t>
      </w:r>
    </w:p>
    <w:p>
      <w:pPr>
        <w:pStyle w:val="Bibliography"/>
      </w:pPr>
      <w:r>
        <w:t xml:space="preserve">3. Blaser MJ, Cardon ZG, Cho MK, Dangl JL, Donohue TJ, Green JL, Knight R, Editor S, Maxon ME, Northen TR, Pollard KS, Editor S. 2016. Toward a Predictive Understanding of Earth’s Microbiomes to Address 21st Century Challenges. mBio 7:e00074–16.</w:t>
      </w:r>
    </w:p>
    <w:p>
      <w:pPr>
        <w:pStyle w:val="Bibliography"/>
      </w:pPr>
      <w:r>
        <w:t xml:space="preserve">4. Sangwan N, Xia F, Gilbert JA. 2016. Recovering complete and draft population genomes from metagenome datasets. Microbiome 4:8.</w:t>
      </w:r>
    </w:p>
    <w:p>
      <w:pPr>
        <w:pStyle w:val="Bibliography"/>
      </w:pPr>
      <w:r>
        <w:t xml:space="preserve">5. Lawson CE, Wu S, Bhattacharjee AS, Hamilton JJ, Mcmahon KD, Goel R, Noguera DR. 2017. Metabolic network analysis reveals microbial community interactions in anammox granules. Nature Communications 8:15416.</w:t>
      </w:r>
    </w:p>
    <w:p>
      <w:pPr>
        <w:pStyle w:val="Bibliography"/>
      </w:pPr>
      <w:r>
        <w:t xml:space="preserve">6. Anantharaman K, Brown CT, Hug LA, Sharon I, Castelle CJ, Probst AJ, Thomas BC, Singh A, Wilkins MJ, Karaoz U, Brodie EL, Williams KH, Hubbard SS, Banfield JF. 2016. Thousands of microbial genomes shed light on interconnected biogeochemical processes in an aquifer system. Nature Communications 7:13219.</w:t>
      </w:r>
    </w:p>
    <w:p>
      <w:pPr>
        <w:pStyle w:val="Bibliography"/>
      </w:pPr>
      <w:r>
        <w:t xml:space="preserve">7. Orth JD, Thiele I, Palsson BØ. 2010. What is flux balance analysis? Nature Biotechnology 28:245–248.</w:t>
      </w:r>
    </w:p>
    <w:p>
      <w:pPr>
        <w:pStyle w:val="Bibliography"/>
      </w:pPr>
      <w:r>
        <w:t xml:space="preserve">8. Arkin AP, Stevens RL, Cottingham RW, Maslov S, Henry CS, Dehal P, Ware D, Perez F, Harris NL, Canon S, Sneddon MW, Henderson ML, Riehl WJ, Gunter D, Mur D, Yoo S. 2016. The DOE Systems Biology Knowledgebase (KBase). bioRxiv.</w:t>
      </w:r>
    </w:p>
    <w:p>
      <w:pPr>
        <w:pStyle w:val="Bibliography"/>
      </w:pPr>
      <w:r>
        <w:t xml:space="preserve">9. Zwart G, Hiorns WD, Methé BA, Agterveld MP van, Huismans R, Nold SC, Zehr JP, Laanbroek HJ. 1998. Nearly Identical 16S rRNA Sequences Recovered from Lakes in North America and Europe Indicate the Existence of Clades of Globally Distributed Freshwater Bacteria. Systematic and Applied Microbiology 21:546–556.</w:t>
      </w:r>
    </w:p>
    <w:p>
      <w:pPr>
        <w:pStyle w:val="Bibliography"/>
      </w:pPr>
      <w:r>
        <w:t xml:space="preserve">10. Glockner FO, Zaichikov E, Belkova N, Denissova L, Pernthaler J, Pernthaler A, Amann R. 2000. Comparative 16S rRNA analysis of lake bacterioplankton reveals globally distributed phylogenetic clusters including an abundant group of actinobacteria. Applied and Environmental Microbiology 66:5053–5065.</w:t>
      </w:r>
    </w:p>
    <w:p>
      <w:pPr>
        <w:pStyle w:val="Bibliography"/>
      </w:pPr>
      <w:r>
        <w:t xml:space="preserve">11. Zwart G, Crump BC, Kamst-van Agterveld MP, Hagen F, Han SK. 2002. Typical freshwater bacteria: An analysis of available 16S rRNA gene sequences from plankton of lakes and rivers. Aquatic Microbial Ecology 28:141–155.</w:t>
      </w:r>
    </w:p>
    <w:p>
      <w:pPr>
        <w:pStyle w:val="Bibliography"/>
      </w:pPr>
      <w:r>
        <w:t xml:space="preserve">12. Newton RJ, Kent AD, Triplett EW, McMahon KD. 2006. Microbial community dynamics in a humic lake: Differential persistence of common freshwater phylotypes. Environmental Microbiology 8:956–970.</w:t>
      </w:r>
    </w:p>
    <w:p>
      <w:pPr>
        <w:pStyle w:val="Bibliography"/>
      </w:pPr>
      <w:r>
        <w:t xml:space="preserve">13. Wu QL, Zwart G, Schauer M, Kamst-Van Agterveld MP, Hahn MW. 2006. Bacterioplankton community composition along a salinity gradient of sixteen high-mountain lakes located on the Tibetan Plateau, China. Applied and Environmental Microbiology 72:5478–5485.</w:t>
      </w:r>
    </w:p>
    <w:p>
      <w:pPr>
        <w:pStyle w:val="Bibliography"/>
      </w:pPr>
      <w:r>
        <w:t xml:space="preserve">14. Newton RJ, Jones SE, Helmus MR, McMahon KD. 2007. Phylogenetic ecology of the freshwater Actinobacteria acI lineage. Applied and Environmental Microbiology 73:7169–7176.</w:t>
      </w:r>
    </w:p>
    <w:p>
      <w:pPr>
        <w:pStyle w:val="Bibliography"/>
      </w:pPr>
      <w:r>
        <w:t xml:space="preserve">15. Wu X, Xi W, Ye W, Yang H. 2007. Bacterial community composition of a shallow hypertrophic freshwater lake in China, revealed by 16S rRNA gene sequences. FEMS Microbiology Ecology 61:85–96.</w:t>
      </w:r>
    </w:p>
    <w:p>
      <w:pPr>
        <w:pStyle w:val="Bibliography"/>
      </w:pPr>
      <w:r>
        <w:t xml:space="preserve">16. De Wever A, Van Der Gucht K, Muylaert K, Cousin S, Vyverman W. 2008. Clone library analysis reveals an unusual composition and strong habitat partitioning of pelagic bacterial communities in Lake Tanganyika. Aquatic Microbial Ecology 50:113–122.</w:t>
      </w:r>
    </w:p>
    <w:p>
      <w:pPr>
        <w:pStyle w:val="Bibliography"/>
      </w:pPr>
      <w:r>
        <w:t xml:space="preserve">17. Humbert JF, Dorigo U, Cecchi P, Le Berre B, Debroas D, Bouvy M. 2009. Comparison of the structure and composition of bacterial communities from temperate and tropical freshwater ecosystems. Environmental Microbiology 11:2339–2350.</w:t>
      </w:r>
    </w:p>
    <w:p>
      <w:pPr>
        <w:pStyle w:val="Bibliography"/>
      </w:pPr>
      <w:r>
        <w:t xml:space="preserve">18. Ghai R, McMahon KD, Rodriguez-Valera F. 2012. Breaking a paradigm: cosmopolitan and abundant freshwater actinobacteria are low GC. Environmental Microbiology Reports 4:29–35.</w:t>
      </w:r>
    </w:p>
    <w:p>
      <w:pPr>
        <w:pStyle w:val="Bibliography"/>
      </w:pPr>
      <w:r>
        <w:t xml:space="preserve">19. Buck U, Grossart H-P, Amann RI, Pernthaler J. 2009. Substrate incorporation patterns of bacterioplankton populations in stratified and mixed waters of a humic lake. Environmental Microbiology 11:1854–1865.</w:t>
      </w:r>
    </w:p>
    <w:p>
      <w:pPr>
        <w:pStyle w:val="Bibliography"/>
      </w:pPr>
      <w:r>
        <w:t xml:space="preserve">20. Salcher MM, Pernthaler J, Posch T. 2010. Spatiotemporal distribution and activity patterns of bacteria from three phylogenetic groups in an oligomesotrophic lake. Limnology and Oceanography 55:846–856.</w:t>
      </w:r>
    </w:p>
    <w:p>
      <w:pPr>
        <w:pStyle w:val="Bibliography"/>
      </w:pPr>
      <w:r>
        <w:t xml:space="preserve">21.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23. Salcher MM, Posch T, Pernthaler J. 2013. In situ substrate preferences of abundant bacterioplankton populations in a prealpine freshwater lake. The ISME Journal 7:896–907.</w:t>
      </w:r>
    </w:p>
    <w:p>
      <w:pPr>
        <w:pStyle w:val="Bibliography"/>
      </w:pPr>
      <w:r>
        <w:t xml:space="preserve">24. Ghai R, Mizuno CM, Picazo A, Camacho A, Rodriguez-Valera F. 2014. Key roles for freshwater Actinobacteria revealed by deep metagenomic sequencing. Molecular Ecology 23:6073–6090.</w:t>
      </w:r>
    </w:p>
    <w:p>
      <w:pPr>
        <w:pStyle w:val="Bibliography"/>
      </w:pPr>
      <w:r>
        <w:t xml:space="preserve">25.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26. Tsementzi D, Poretsky RS, Rodriguez-R LM, Luo C, Konstantinidis KT. 2014. Evaluation of metatranscriptomic protocols and application to the study of freshwater microbial communities. Environmental Microbiology Reports 6:640–655.</w:t>
      </w:r>
    </w:p>
    <w:p>
      <w:pPr>
        <w:pStyle w:val="Bibliography"/>
      </w:pPr>
      <w:r>
        <w:t xml:space="preserve">27. Garcia SL, Buck M, McMahon KD, Grossart H-P, Eiler A, Warnecke F. 2015. Auxotrophy and intra-population complementary in the ‘interactome’ of a cultivated freshwater model community. Molecular Ecology 24:4449–4459.</w:t>
      </w:r>
    </w:p>
    <w:p>
      <w:pPr>
        <w:pStyle w:val="Bibliography"/>
      </w:pPr>
      <w:r>
        <w:t xml:space="preserve">28. Newton RJ, Jones SE, Eiler A, McMahon KD, Bertilsson S. 2011. A guide to the natural history of freshwater lake bacteria. Microbiology and Molecular Biology Reviews 75:14–49.</w:t>
      </w:r>
    </w:p>
    <w:p>
      <w:pPr>
        <w:pStyle w:val="Bibliography"/>
      </w:pPr>
      <w:r>
        <w:t xml:space="preserve">29. Li L, Stoeckert CJ, Roos DS. 2003. OrthoMCL: identification of ortholog groups for eukaryotic genomes. Genome Research 13:2178–89.</w:t>
      </w:r>
    </w:p>
    <w:p>
      <w:pPr>
        <w:pStyle w:val="Bibliography"/>
      </w:pPr>
      <w:r>
        <w:t xml:space="preserve">30. Sharma AK, Zhaxybayeva O, Papke RT, Doolittle WF. 2008. Actinorhodopsins: Proteorhodopsin-like gene sequences found predominantly in non-marine environments. Environmental Microbiology 10:1039–1056.</w:t>
      </w:r>
    </w:p>
    <w:p>
      <w:pPr>
        <w:pStyle w:val="Bibliography"/>
      </w:pPr>
      <w:r>
        <w:t xml:space="preserve">31. Beier S, Bertilsson S. 2011. Uncoupling of chitinase activity and uptake of hydrolysis products in freshwater bacterioplankton. Limnology and Oceanography 56:1179–1188.</w:t>
      </w:r>
    </w:p>
    <w:p>
      <w:pPr>
        <w:pStyle w:val="Bibliography"/>
      </w:pPr>
      <w:r>
        <w:t xml:space="preserve">32. Eckert EM, Salcher MM, Posch T, Eugster B, Pernthaler J. 2012. Rapid successions affect microbial N-acetyl-glucosamine uptake patterns during a lacustrine spring phytoplankton bloom. Environmental Microbiology 14:794–806.</w:t>
      </w:r>
    </w:p>
    <w:p>
      <w:pPr>
        <w:pStyle w:val="Bibliography"/>
      </w:pPr>
      <w:r>
        <w:t xml:space="preserve">33. Eckert EM, Baumgartner M, Huber IM, Pernthaler J. 2013. Grazing resistant freshwater bacteria profit from chitin and cell-wall-derived organic carbon. Environmental Microbiology 15:2019–2030.</w:t>
      </w:r>
    </w:p>
    <w:p>
      <w:pPr>
        <w:pStyle w:val="Bibliography"/>
      </w:pPr>
      <w:r>
        <w:t xml:space="preserve">34. Pérez MT, Hörtnagl P, Sommaruga R. 2010. Contrasting ability to take up leucine and thymidine among freshwater bacterial groups: Implications for bacterial production measurements. Environmental Microbiology 12:74–82.</w:t>
      </w:r>
    </w:p>
    <w:p>
      <w:pPr>
        <w:pStyle w:val="Bibliography"/>
      </w:pPr>
      <w:r>
        <w:t xml:space="preserve">35. Saier MH, Reddy VS, Tamang DG, Västermark Å. 2014. The transporter classification database. Nucleic Acids Research 42:D251–D258.</w:t>
      </w:r>
    </w:p>
    <w:p>
      <w:pPr>
        <w:pStyle w:val="Bibliography"/>
      </w:pPr>
      <w:r>
        <w:t xml:space="preserve">36. Garcia SL. 2016. Mixed cultures as model communities: hunting for ubiquitous microorganisms, their partners, and interactions. Aquatic Microbial Ecology 77:79–85.</w:t>
      </w:r>
    </w:p>
    <w:p>
      <w:pPr>
        <w:pStyle w:val="Bibliography"/>
      </w:pPr>
      <w:r>
        <w:t xml:space="preserve">37. Garcia SL, Buck M, Hamilton JJ, Wurzbacher C, Rosenblad MA, McMaho KD, Grossart H-P, Warnecke F, Eiler A. 2017. Model communities hint to promiscuous metabolic linkages between ubiquitous free-living freshwater bacteria. bioRxiv.</w:t>
      </w:r>
    </w:p>
    <w:p>
      <w:pPr>
        <w:pStyle w:val="Bibliography"/>
      </w:pPr>
      <w:r>
        <w:t xml:space="preserve">38.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39. Darling AE, Jospin G, Lowe E, Matsen FA, Bik HM, Eisen JA. 2014. PhyloSift: phylogenetic analysis of genomes and metagenomes. PeerJ 2:e243.</w:t>
      </w:r>
    </w:p>
    <w:p>
      <w:pPr>
        <w:pStyle w:val="Bibliography"/>
      </w:pPr>
      <w:r>
        <w:t xml:space="preserve">40. Stamatakis A. 2014. RAxML version 8: a tool for phylogenetic analysis and post-analysis of large phylogenies. Bioinformatics 30:1312–1313.</w:t>
      </w:r>
    </w:p>
    <w:p>
      <w:pPr>
        <w:pStyle w:val="Bibliography"/>
      </w:pPr>
      <w:r>
        <w:t xml:space="preserve">41. Jeong H, Tombor B, Albert R, Oltvai ZN, Barabási A-L, Database I. 2000. The large-scale organization of metabolic networks. Nature 407:651–654.</w:t>
      </w:r>
    </w:p>
    <w:p>
      <w:pPr>
        <w:pStyle w:val="Bibliography"/>
      </w:pPr>
      <w:r>
        <w:t xml:space="preserve">42.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43.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44. Henry CS, DeJongh M, Best AA, Frybarger PM, Linsay B, Stevens RL. 2010. High-throughput generation, optimization and analysis of genome-scale metabolic models. Nature Biotechnology 28:977–982.</w:t>
      </w:r>
    </w:p>
    <w:p>
      <w:pPr>
        <w:pStyle w:val="Bibliography"/>
      </w:pPr>
      <w:r>
        <w:t xml:space="preserve">45. Fischer S, Brunk BP, Chen F, Gao X, Harb OS, Iodice JB, Shanmugam D, Roos DS, Stoeckert CJ. 2011. Using OrthoMCL to assign proteins to OrthoMCL-DB groups or to cluster proteomes into new ortholog groups. Current Protocols in Bioinformatics Supplement:6.12.1.6–12.19.</w:t>
      </w:r>
    </w:p>
    <w:p>
      <w:pPr>
        <w:pStyle w:val="Bibliography"/>
      </w:pPr>
      <w:r>
        <w:t xml:space="preserve">46. Konstantinidis KT, Tiedje JM. 2005. Genomic insights that advance the species definition for prokaryotes. Proceedings of the National Academy of Sciences 102:2567–2572.</w:t>
      </w:r>
    </w:p>
    <w:p>
      <w:pPr>
        <w:pStyle w:val="Bibliography"/>
      </w:pPr>
      <w:r>
        <w:t xml:space="preserve">47. Anders S, Pyl PT, Huber W. 2014. HTSeq A Python framework to work with high-throughput sequencing data. Bioinformatics 31:166–169.</w:t>
      </w:r>
    </w:p>
    <w:p>
      <w:pPr>
        <w:pStyle w:val="Bibliography"/>
      </w:pPr>
      <w:r>
        <w:t xml:space="preserve">48. Mortazavi A, Williams BA, McCue K, Schaeffer L, Wold B. 2008. Mapping and quantifying mammalian transcriptomes by RNA-Seq. Nature Methods 5:621–628.</w:t>
      </w:r>
    </w:p>
    <w:p>
      <w:pPr>
        <w:pStyle w:val="Bibliography"/>
      </w:pPr>
      <w:r>
        <w:t xml:space="preserve">49. Gao B, Gupta RS. 2012. Phylogenetic Framework and Molecular Signatures for the Main Clades of the Phylum Actinobacteria. Microbiology and Molecular Biology Reviews 76:66–112.</w:t>
      </w:r>
    </w:p>
    <w:p>
      <w:pPr>
        <w:pStyle w:val="Bibliography"/>
      </w:pPr>
      <w:r>
        <w:t xml:space="preserve">50. Parks DH, Imelfort M, Skennerton CT, Hugenholtz P, Tyson GW. 2015. CheckM: assessing the quality of microbial genomes recovered from isolates, single cells, and metagenomes. Genome Research 25:1043–1055.</w:t>
      </w:r>
    </w:p>
    <w:p>
      <w:pPr>
        <w:pStyle w:val="Bibliography"/>
      </w:pPr>
      <w:r>
        <w:t xml:space="preserve">51. Ma H, Zeng A-P. 2003. Reconstruction of metabolic networks from genome data and analysis of their global structure for various organisms. Bioinformatics 19:270–277.</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788d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4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