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(1, 2)</w:t>
      </w:r>
      <w:r>
        <w:t xml:space="preserve">. Partial 16S rRNA genes amplified previously</w:t>
      </w:r>
      <w:r>
        <w:t xml:space="preserve"> </w:t>
      </w:r>
      <w:r>
        <w:t xml:space="preserve">(1)</w:t>
      </w:r>
      <w:r>
        <w:t xml:space="preserve"> </w:t>
      </w:r>
      <w:r>
        <w:t xml:space="preserve">were phylogenetically classified using a controlled nomenclature for freshwater bacteria</w:t>
      </w:r>
      <w:r>
        <w:t xml:space="preserve"> </w:t>
      </w:r>
      <w:r>
        <w:t xml:space="preserve">(3)</w:t>
      </w:r>
      <w:r>
        <w:t xml:space="preserve"> </w:t>
      </w:r>
      <w:r>
        <w:t xml:space="preserve">by insertion into references trees created in the ARB software package</w:t>
      </w:r>
      <w:r>
        <w:t xml:space="preserve"> </w:t>
      </w:r>
      <w:r>
        <w:t xml:space="preserve">(4)</w:t>
      </w:r>
      <w:r>
        <w:t xml:space="preserve">.</w:t>
      </w:r>
    </w:p>
    <w:p>
      <w:pPr>
        <w:pStyle w:val="BodyText"/>
      </w:pPr>
      <w:r>
        <w:t xml:space="preserve">Actinobacterial SAGs used in this study were then sent to the JGI for sequencing and assembly, also as previously described</w:t>
      </w:r>
      <w:r>
        <w:t xml:space="preserve"> </w:t>
      </w:r>
      <w:r>
        <w:t xml:space="preserve">(5)</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(6)</w:t>
      </w:r>
      <w:r>
        <w:t xml:space="preserve"> </w:t>
      </w:r>
      <w:r>
        <w:t xml:space="preserve">and ALLPATHS-LG</w:t>
      </w:r>
      <w:r>
        <w:t xml:space="preserve"> </w:t>
      </w:r>
      <w:r>
        <w:t xml:space="preserve">(7)</w:t>
      </w:r>
      <w:r>
        <w:t xml:space="preserve">. Additional details of the assembly process have been previously described</w:t>
      </w:r>
      <w:r>
        <w:t xml:space="preserve"> </w:t>
      </w:r>
      <w:r>
        <w:t xml:space="preserve">(5)</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(8, 9)</w:t>
      </w:r>
      <w:r>
        <w:t xml:space="preserve">, as well as genomic binning for the Trout Bog samples</w:t>
      </w:r>
      <w:r>
        <w:t xml:space="preserve"> </w:t>
      </w:r>
      <w:r>
        <w:t xml:space="preserve">(8)</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(8, 9)</w:t>
      </w:r>
      <w:r>
        <w:t xml:space="preserve">. DNA was extracted from these filters using the FastDNA kit (MP Biomedicals) and sent to the JGI for sequencing, as described previously</w:t>
      </w:r>
      <w:r>
        <w:t xml:space="preserve"> </w:t>
      </w:r>
      <w:r>
        <w:t xml:space="preserve">(8, 9)</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(8, 9)</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S13.</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(10)</w:t>
      </w:r>
      <w:r>
        <w:t xml:space="preserve">, as previously described</w:t>
      </w:r>
      <w:r>
        <w:t xml:space="preserve"> </w:t>
      </w:r>
      <w:r>
        <w:t xml:space="preserve">(8, 9)</w:t>
      </w:r>
      <w:r>
        <w:t xml:space="preserve">. Merged reads were pooled by lake and layer into three co-assemblies using SOAPdenovo</w:t>
      </w:r>
      <w:r>
        <w:t xml:space="preserve"> </w:t>
      </w:r>
      <w:r>
        <w:t xml:space="preserve">(11)</w:t>
      </w:r>
      <w:r>
        <w:t xml:space="preserve">, and contigs from the resulting assemblies were assembled into a final assembly using Minimus</w:t>
      </w:r>
      <w:r>
        <w:t xml:space="preserve"> </w:t>
      </w:r>
      <w:r>
        <w:t xml:space="preserve">(12)</w:t>
      </w:r>
      <w:r>
        <w:t xml:space="preserve">, as previously described</w:t>
      </w:r>
      <w:r>
        <w:t xml:space="preserve"> </w:t>
      </w:r>
      <w:r>
        <w:t xml:space="preserve">(8, 9)</w:t>
      </w:r>
      <w:r>
        <w:t xml:space="preserve">. Additional details of the assembly process are available through the JGI Genome Portal (http://genome.jgi.doe.gov) under Proposal ID 394. The full list of assemblies is given in Table S14.</w:t>
      </w:r>
    </w:p>
    <w:p>
      <w:pPr>
        <w:pStyle w:val="BodyText"/>
      </w:pPr>
      <w:r>
        <w:t xml:space="preserve">Genomes were binned from each metagenomic co-assembly using MetaBat</w:t>
      </w:r>
      <w:r>
        <w:t xml:space="preserve"> </w:t>
      </w:r>
      <w:r>
        <w:t xml:space="preserve">(13)</w:t>
      </w:r>
      <w:r>
        <w:t xml:space="preserve">, as described previously</w:t>
      </w:r>
      <w:r>
        <w:t xml:space="preserve"> </w:t>
      </w:r>
      <w:r>
        <w:t xml:space="preserve">(8)</w:t>
      </w:r>
      <w:r>
        <w:t xml:space="preserve">. Briefly, contigs were classified into bins using tetranucleotide frequency and coverage patterns across the time-series and then manually curated, as previously described</w:t>
      </w:r>
      <w:r>
        <w:t xml:space="preserve"> </w:t>
      </w:r>
      <w:r>
        <w:t xml:space="preserve">(8)</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(14)</w:t>
      </w:r>
      <w:r>
        <w:t xml:space="preserve">, as previously described</w:t>
      </w:r>
      <w:r>
        <w:t xml:space="preserve"> </w:t>
      </w:r>
      <w:r>
        <w:t xml:space="preserve">(8)</w:t>
      </w:r>
      <w:r>
        <w:t xml:space="preserve">. CheckM</w:t>
      </w:r>
      <w:r>
        <w:t xml:space="preserve"> </w:t>
      </w:r>
      <w:r>
        <w:t xml:space="preserve">(15)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(16)</w:t>
      </w:r>
      <w:r>
        <w:t xml:space="preserve"> </w:t>
      </w:r>
      <w:r>
        <w:t xml:space="preserve">and merged using FLASH</w:t>
      </w:r>
      <w:r>
        <w:t xml:space="preserve"> </w:t>
      </w:r>
      <w:r>
        <w:t xml:space="preserve">(10)</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(17)</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(18)</w:t>
      </w:r>
      <w:r>
        <w:t xml:space="preserve"> </w:t>
      </w:r>
      <w:r>
        <w:t xml:space="preserve">and RFAM</w:t>
      </w:r>
      <w:r>
        <w:t xml:space="preserve"> </w:t>
      </w:r>
      <w:r>
        <w:t xml:space="preserve">(19)</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(20, 21)</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(22)</w:t>
      </w:r>
      <w:r>
        <w:t xml:space="preserve"> </w:t>
      </w:r>
      <w:r>
        <w:t xml:space="preserve">to build a draft reconstruction.</w:t>
      </w:r>
    </w:p>
    <w:p>
      <w:pPr>
        <w:pStyle w:val="BodyText"/>
      </w:pPr>
      <w:r>
        <w:t xml:space="preserve">Reconstructions were then pruned and converted to metabolic network graphs (Figure S3).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(23)</w:t>
      </w:r>
      <w:r>
        <w:t xml:space="preserve">. Finally, the metabolic network graph was extracted from the reconstruction, to enable graph-theoretical identification of the network’s seed set.</w:t>
      </w:r>
    </w:p>
    <w:p>
      <w:pPr>
        <w:pStyle w:val="BodyText"/>
      </w:pPr>
      <w:r>
        <w:t xml:space="preserve">Metabolic network reconstructions created from acI SAGs and MAGs will likely be missing reactions, as the underlying genomes are incomplete (Table 1). Previous studies have examined the effect of genome incompleteness on the predicted seed set</w:t>
      </w:r>
      <w:r>
        <w:t xml:space="preserve"> </w:t>
      </w:r>
      <w:r>
        <w:t xml:space="preserve">(24)</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 (Figure S4).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(24)</w:t>
      </w:r>
      <w:r>
        <w:t xml:space="preserve">. Seed compounds for each composite clade-level metabolic network graph were calculated using the seed set framework</w:t>
      </w:r>
      <w:r>
        <w:t xml:space="preserve"> </w:t>
      </w:r>
      <w:r>
        <w:t xml:space="preserve">(24)</w:t>
      </w:r>
      <w:r>
        <w:t xml:space="preserve"> </w:t>
      </w:r>
      <w:r>
        <w:t xml:space="preserve">(Figure S5).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S15). On average, these genes account for 25% of the genes in the genome, a value consistent with metabolic network reconstructions for other organisms</w:t>
      </w:r>
      <w:r>
        <w:t xml:space="preserve"> </w:t>
      </w:r>
      <w:r>
        <w:t xml:space="preserve">(25)</w:t>
      </w:r>
      <w:r>
        <w:t xml:space="preserve">. Clade-level composite metabolic network graphs were larger, with between 602 and 811 metabolites (Table S16).</w:t>
      </w:r>
    </w:p>
    <w:p>
      <w:pPr>
        <w:pStyle w:val="BodyText"/>
      </w:pPr>
      <w:r>
        <w:t xml:space="preserve">These composite metabolic network graphs contained a large number of disconnected components (groups of nodes that are not connected to the bulk of the network, Figure S6). For simplicity, these components were dropped from the graph, and seed compounds were computed for the single largest component. In all cases, the single largest component contained at least 80% of the nodes in the original graph (Table S16).</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S6). Across the three clades, the giant component contained 61% of the metabolites, a larger fraction than reported for other organisms</w:t>
      </w:r>
      <w:r>
        <w:t xml:space="preserve"> </w:t>
      </w:r>
      <w:r>
        <w:t xml:space="preserve">(26)</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S16). This discrepancy arises because some seed sets contain multiple compounds (Table S17). However, such seed sets were rare (4% of all seed sets), and contained at most six compounds (Table S17). The majority of seed compounds (96%) belonged to seed sets containing only a single compound (Table S17).</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0" w:name="references"/>
      <w:bookmarkEnd w:id="30"/>
      <w:r>
        <w:t xml:space="preserve">References</w:t>
      </w:r>
    </w:p>
    <w:p>
      <w:pPr>
        <w:pStyle w:val="Bibliography"/>
      </w:pPr>
      <w:r>
        <w:t xml:space="preserve">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3. Newton RJ, Jones SE, Eiler A, McMahon KD, Bertilsson S. 2011. A guide to the natural history of freshwater lake bacteria. Microbiology and Molecular Biology Reviews 75:14–49.</w:t>
      </w:r>
    </w:p>
    <w:p>
      <w:pPr>
        <w:pStyle w:val="Bibliography"/>
      </w:pPr>
      <w:r>
        <w:t xml:space="preserve">4. Ludwig W, Strunk O, Westram R, Richter L, Meier H, Yadhukumar, Buchner A, Lai T, Steppi S, Jobb G, Förster W, Brettske I, Gerber S, Ginhart AW, Gross O, Grumann S, Hermann S, Jost R, König A, Liss T, Lüssmann R, May M, Nonhoff B, Reichel B, Strehlow R, Stamatakis A, Stuckmann N, Vilbig A, Lenke M, Ludwig T, Bode A, Schleifer K-H. 2004. ARB: a software environment for sequence data. Nucleic Acids Research 32:1363–1371.</w:t>
      </w:r>
    </w:p>
    <w:p>
      <w:pPr>
        <w:pStyle w:val="Bibliography"/>
      </w:pPr>
      <w:r>
        <w:t xml:space="preserve">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6. Zerbino DR, Birney E. 2008. Velvet: Algorithms for de novo short read assembly using de Bruijn graphs. Genome Research 18:821–829.</w:t>
      </w:r>
    </w:p>
    <w:p>
      <w:pPr>
        <w:pStyle w:val="Bibliography"/>
      </w:pPr>
      <w:r>
        <w:t xml:space="preserve">7. Gnerre S, Maccallum I, Przybylski D, Ribeiro FJ, Burton JN, Walker BJ, Sharpe T, Hall G, Shea TP, Sykes S, Berlin AM, Aird D, Costello M, Daza R, Williams L, Nicol R, Gnirke A, Nusbaum C, Lander ES, Jaffe DB. 2011. High-quality draft assemblies of mammalian genomes from massively parallel sequence data. Proceedings of the National Academy of Sciences 108:1513–1518.</w:t>
      </w:r>
    </w:p>
    <w:p>
      <w:pPr>
        <w:pStyle w:val="Bibliography"/>
      </w:pPr>
      <w:r>
        <w:t xml:space="preserve">8.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9. Garcia SL, Buck M, McMahon KD, Grossart H-P, Eiler A, Warnecke F. 2015. Auxotrophy and intra-population complementary in the ‘interactome’ of a cultivated freshwater model community. Molecular Ecology 24:4449–4459.</w:t>
      </w:r>
    </w:p>
    <w:p>
      <w:pPr>
        <w:pStyle w:val="Bibliography"/>
      </w:pPr>
      <w:r>
        <w:t xml:space="preserve">10. Magoc T, Salzberg SL. 2011. FLASH: fast length adjustment of short reads to improve genome assemblies. Bioinformatics 27:2957–2963.</w:t>
      </w:r>
    </w:p>
    <w:p>
      <w:pPr>
        <w:pStyle w:val="Bibliography"/>
      </w:pPr>
      <w:r>
        <w:t xml:space="preserve">11. 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GigaScience 1:18.</w:t>
      </w:r>
    </w:p>
    <w:p>
      <w:pPr>
        <w:pStyle w:val="Bibliography"/>
      </w:pPr>
      <w:r>
        <w:t xml:space="preserve">12. Sommer DD, Delcher AL, Salzberg SL, Pop M. 2007. Minimus: a fast, lightweight genome assembler. BMC Bioinformatics 8:64.</w:t>
      </w:r>
    </w:p>
    <w:p>
      <w:pPr>
        <w:pStyle w:val="Bibliography"/>
      </w:pPr>
      <w:r>
        <w:t xml:space="preserve">13. Kang DD, Froula J, Egan R, Wang Z. 2015. MetaBAT, an efficient tool for accurately reconstructing single genomes from complex microbial communities. PeerJ 3:e1165.</w:t>
      </w:r>
    </w:p>
    <w:p>
      <w:pPr>
        <w:pStyle w:val="Bibliography"/>
      </w:pPr>
      <w:r>
        <w:t xml:space="preserve">14. Darling AE, Jospin G, Lowe E, Matsen FA, Bik HM, Eisen JA. 2014. PhyloSift: phylogenetic analysis of genomes and metagenomes. PeerJ 2:e243.</w:t>
      </w:r>
    </w:p>
    <w:p>
      <w:pPr>
        <w:pStyle w:val="Bibliography"/>
      </w:pPr>
      <w:r>
        <w:t xml:space="preserve">15. Parks DH, Imelfort M, Skennerton CT, Hugenholtz P, Tyson GW. 2015. CheckM: assessing the quality of microbial genomes recovered from isolates, single cells, and metagenomes. Genome Research 25:1043–1055.</w:t>
      </w:r>
    </w:p>
    <w:p>
      <w:pPr>
        <w:pStyle w:val="Bibliography"/>
      </w:pPr>
      <w:r>
        <w:t xml:space="preserve">16. Joshi NA, Fass JN. 2011. Sickle: A sliding-window, adaptive, quality-based trimming tool for FastQ files (Version 1.33).</w:t>
      </w:r>
    </w:p>
    <w:p>
      <w:pPr>
        <w:pStyle w:val="Bibliography"/>
      </w:pPr>
      <w:r>
        <w:t xml:space="preserve">17. Kopylova E, Noe L, Touzet H. 2012. SortMeRNA: fast and accurate filtering of ribosomal RNAs in metatranscriptomic data. Bioinformatics 28:3211–3217.</w:t>
      </w:r>
    </w:p>
    <w:p>
      <w:pPr>
        <w:pStyle w:val="Bibliography"/>
      </w:pPr>
      <w:r>
        <w:t xml:space="preserve">18. Quast C, Pruesse E, Yilmaz P, Gerken J, Schweer T, Yarza P, Peplies J, Glöckner FO. 2013. The SILVA ribosomal RNA gene database project: improved data processing and web-based tools. Nucleic Acids Research 41:D590–D596.</w:t>
      </w:r>
    </w:p>
    <w:p>
      <w:pPr>
        <w:pStyle w:val="Bibliography"/>
      </w:pPr>
      <w:r>
        <w:t xml:space="preserve">19. Nawrocki EP, Burge SW, Bateman A, Daub J, Eberhardt RY, Eddy SR, Floden EW, Gardner PP, Jones TA, Tate J, Finn RD. 2015. Rfam 12.0: Updates to the RNA families database. Nucleic Acids Research 43:D130–D137.</w:t>
      </w:r>
    </w:p>
    <w:p>
      <w:pPr>
        <w:pStyle w:val="Bibliography"/>
      </w:pPr>
      <w:r>
        <w:t xml:space="preserve">20.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21.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22. Henry CS, DeJongh M, Best AA, Frybarger PM, Linsay B, Stevens RL. 2010. High-throughput generation, optimization and analysis of genome-scale metabolic models. Nature Biotechnology 28:977–982.</w:t>
      </w:r>
    </w:p>
    <w:p>
      <w:pPr>
        <w:pStyle w:val="Bibliography"/>
      </w:pPr>
      <w:r>
        <w:t xml:space="preserve">23. Ma H, Zeng A-P. 2003. Reconstruction of metabolic networks from genome data and analysis of their global structure for various organisms. Bioinformatics 19:270–277.</w:t>
      </w:r>
    </w:p>
    <w:p>
      <w:pPr>
        <w:pStyle w:val="Bibliography"/>
      </w:pPr>
      <w:r>
        <w:t xml:space="preserve">24. Borenstein E, Kupiec M, Feldman MW, Ruppin E. 2008. Large-scale reconstruction and phylogenetic analysis of metabolic environments. Proceedings of the National Academy of Sciences 105:14482–14487.</w:t>
      </w:r>
    </w:p>
    <w:p>
      <w:pPr>
        <w:pStyle w:val="Bibliography"/>
      </w:pPr>
      <w:r>
        <w:t xml:space="preserve">25. Feist AM, Herrgård MJ, Thiele I, Reed JL, Palsson BØ. 2009. Reconstruction of biochemical networks in microorganisms. Nature Reviews Microbiology 7:129–143.</w:t>
      </w:r>
    </w:p>
    <w:p>
      <w:pPr>
        <w:pStyle w:val="Bibliography"/>
      </w:pPr>
      <w:r>
        <w:t xml:space="preserve">26. Ma HW, Zeng A-PP. 2003. The connectivity structure, giant strong component and centrality of metabolic networks. Bioinformatics 19:1423–1430.</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e818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