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w:t>
      </w:r>
      <w:r>
        <w:t xml:space="preserve"> </w:t>
      </w:r>
      <w:hyperlink w:anchor="ref-Gao2012">
        <w:r>
          <w:rPr>
            <w:rStyle w:val="Hyperlink"/>
          </w:rPr>
          <w:t xml:space="preserve">2012</w:t>
        </w:r>
      </w:hyperlink>
      <w:r>
        <w:t xml:space="preserve">)</w:t>
      </w:r>
      <w:r>
        <w:t xml:space="preserve">. The tree was built using RAxML</w:t>
      </w:r>
      <w:r>
        <w:t xml:space="preserve"> </w:t>
      </w:r>
      <w:r>
        <w:t xml:space="preserve">(Stamatakis</w:t>
      </w:r>
      <w:r>
        <w:t xml:space="preserve"> </w:t>
      </w:r>
      <w:hyperlink w:anchor="ref-Stamatakis2014">
        <w:r>
          <w:rPr>
            <w:rStyle w:val="Hyperlink"/>
          </w:rPr>
          <w:t xml:space="preserve">2014</w:t>
        </w:r>
      </w:hyperlink>
      <w:r>
        <w:t xml:space="preserve">)</w:t>
      </w:r>
      <w:r>
        <w:t xml:space="preserve"> </w:t>
      </w:r>
      <w:r>
        <w:t xml:space="preserve">from a concatenated alignment of protein sequences from 37 single-copy marker genes</w:t>
      </w:r>
      <w:r>
        <w:t xml:space="preserve"> </w:t>
      </w:r>
      <w:r>
        <w:t xml:space="preserve">(Darling et al.</w:t>
      </w:r>
      <w:r>
        <w:t xml:space="preserve"> </w:t>
      </w:r>
      <w:hyperlink w:anchor="ref-Darling2014">
        <w:r>
          <w:rPr>
            <w:rStyle w:val="Hyperlink"/>
          </w:rPr>
          <w:t xml:space="preserve">2014</w:t>
        </w:r>
      </w:hyperlink>
      <w:r>
        <w:t xml:space="preserve">)</w:t>
      </w:r>
      <w:r>
        <w:t xml:space="preserve">. The order Actinomycetales forms the outgroup. In addition, Supplemental Figure S1 shows the position of the acI lineage relative to other orders within the class Actinobacteria.</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204 single-copy marker genes from the phylum Actinobacteria</w:t>
      </w:r>
      <w:r>
        <w:t xml:space="preserve"> </w:t>
      </w:r>
      <w:r>
        <w:t xml:space="preserve">(Parks et al.</w:t>
      </w:r>
      <w:r>
        <w:t xml:space="preserve"> </w:t>
      </w:r>
      <w:hyperlink w:anchor="ref-Parks2015">
        <w:r>
          <w:rPr>
            <w:rStyle w:val="Hyperlink"/>
          </w:rPr>
          <w:t xml:space="preserve">2015</w:t>
        </w:r>
      </w:hyperlink>
      <w:r>
        <w:t xml:space="preserve">)</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 using three genomes from the acI-C clade as an example.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 Stoeckert, and Roos</w:t>
      </w:r>
      <w:r>
        <w:t xml:space="preserve"> </w:t>
      </w:r>
      <w:hyperlink w:anchor="ref-Li2003">
        <w:r>
          <w:rPr>
            <w:rStyle w:val="Hyperlink"/>
          </w:rPr>
          <w:t xml:space="preserve">2003</w:t>
        </w:r>
      </w:hyperlink>
      <w:r>
        <w:t xml:space="preserve">)</w:t>
      </w:r>
      <w:r>
        <w:t xml:space="preserve">. For each cluster, count all unique reads which map to any gene within that cluster using HTSeq</w:t>
      </w:r>
      <w:r>
        <w:t xml:space="preserve"> </w:t>
      </w:r>
      <w:r>
        <w:t xml:space="preserve">(Anders, Pyl, and Huber</w:t>
      </w:r>
      <w:r>
        <w:t xml:space="preserve"> </w:t>
      </w:r>
      <w:hyperlink w:anchor="ref-Anders2014">
        <w:r>
          <w:rPr>
            <w:rStyle w:val="Hyperlink"/>
          </w:rPr>
          <w:t xml:space="preserve">2014</w:t>
        </w:r>
      </w:hyperlink>
      <w:r>
        <w:t xml:space="preserve">)</w:t>
      </w:r>
      <w:r>
        <w:t xml:space="preserve"> </w:t>
      </w:r>
      <w:r>
        <w:t xml:space="preserve">and compute the relative gene expression using RPKM</w:t>
      </w:r>
      <w:r>
        <w:t xml:space="preserve"> </w:t>
      </w:r>
      <w:r>
        <w:t xml:space="preserve">(Mortazavi et al.</w:t>
      </w:r>
      <w:r>
        <w:t xml:space="preserve"> </w:t>
      </w:r>
      <w:hyperlink w:anchor="ref-Mortazavi2008">
        <w:r>
          <w:rPr>
            <w:rStyle w:val="Hyperlink"/>
          </w:rPr>
          <w:t xml:space="preserve">2008</w:t>
        </w:r>
      </w:hyperlink>
      <w:r>
        <w:t xml:space="preserve">)</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 (A) Auxotrophies and compounds which can be degraded, exclusive of Compounds degraded by peptidases and glycoside hydrolases. (B) Compounds which degraded by peptidases and glycoside hydrolases. For these compounds,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Transporters that are actively expressed by members of the acI lineage, as inferred from transcript relative abundance. The intensity of the color indicates the percentile average log2 RPKM of the encoding gene cluster. For multi-subunit transporters, the percentile of the most highly-expressed subunit was chosen.</w:t>
      </w:r>
    </w:p>
    <w:p>
      <w:pPr>
        <w:pStyle w:val="BodyText"/>
      </w:pPr>
      <w:r>
        <w:t xml:space="preserve"> </w:t>
      </w:r>
    </w:p>
    <w:p>
      <w:pPr>
        <w:pStyle w:val="Heading2"/>
      </w:pPr>
      <w:bookmarkStart w:id="28" w:name="supplementary-figure-1-figuresfig1-treetree-full.pdf"/>
      <w:bookmarkEnd w:id="28"/>
      <w:r>
        <w:t xml:space="preserve">Supplementary Figure 1 (figures/fig1-tree/tree-full.pdf)</w:t>
      </w:r>
    </w:p>
    <w:p>
      <w:pPr>
        <w:pStyle w:val="FirstParagraph"/>
      </w:pPr>
      <w:r>
        <w:t xml:space="preserve"> </w:t>
      </w:r>
    </w:p>
    <w:p>
      <w:pPr>
        <w:pStyle w:val="BodyText"/>
      </w:pPr>
      <w:r>
        <w:t xml:space="preserve">Phylogenetic placement of the acI lineage, relative to other sequenced actinobacterial genomes in the class Actinobacteria</w:t>
      </w:r>
      <w:r>
        <w:t xml:space="preserve"> </w:t>
      </w:r>
      <w:r>
        <w:t xml:space="preserve">(Gao and Gupta</w:t>
      </w:r>
      <w:r>
        <w:t xml:space="preserve"> </w:t>
      </w:r>
      <w:hyperlink w:anchor="ref-Gao2012">
        <w:r>
          <w:rPr>
            <w:rStyle w:val="Hyperlink"/>
          </w:rPr>
          <w:t xml:space="preserve">2012</w:t>
        </w:r>
      </w:hyperlink>
      <w:r>
        <w:t xml:space="preserve">)</w:t>
      </w:r>
      <w:r>
        <w:t xml:space="preserve">. The tree was built using RAxML</w:t>
      </w:r>
      <w:r>
        <w:t xml:space="preserve"> </w:t>
      </w:r>
      <w:r>
        <w:t xml:space="preserve">(Stamatakis</w:t>
      </w:r>
      <w:r>
        <w:t xml:space="preserve"> </w:t>
      </w:r>
      <w:hyperlink w:anchor="ref-Stamatakis2014">
        <w:r>
          <w:rPr>
            <w:rStyle w:val="Hyperlink"/>
          </w:rPr>
          <w:t xml:space="preserve">2014</w:t>
        </w:r>
      </w:hyperlink>
      <w:r>
        <w:t xml:space="preserve">)</w:t>
      </w:r>
      <w:r>
        <w:t xml:space="preserve"> </w:t>
      </w:r>
      <w:r>
        <w:t xml:space="preserve">from a concatenated alignment of single-copy marker genes</w:t>
      </w:r>
      <w:r>
        <w:t xml:space="preserve"> </w:t>
      </w:r>
      <w:r>
        <w:t xml:space="preserve">(Darling et al.</w:t>
      </w:r>
      <w:r>
        <w:t xml:space="preserve"> </w:t>
      </w:r>
      <w:hyperlink w:anchor="ref-Darling2014">
        <w:r>
          <w:rPr>
            <w:rStyle w:val="Hyperlink"/>
          </w:rPr>
          <w:t xml:space="preserve">2014</w:t>
        </w:r>
      </w:hyperlink>
      <w:r>
        <w:t xml:space="preserve">)</w:t>
      </w:r>
      <w:r>
        <w:t xml:space="preserve">. The class Acidimicrobiia forms the outgroup.</w:t>
      </w:r>
    </w:p>
    <w:p>
      <w:pPr>
        <w:pStyle w:val="BodyText"/>
      </w:pPr>
      <w:r>
        <w:t xml:space="preserve"> </w:t>
      </w:r>
    </w:p>
    <w:p>
      <w:pPr>
        <w:pStyle w:val="Heading2"/>
      </w:pPr>
      <w:bookmarkStart w:id="29" w:name="supplementary-figure-2-figuresfig3-workflowfigures2.pdf"/>
      <w:bookmarkEnd w:id="29"/>
      <w:r>
        <w:t xml:space="preserve">Supplementary Figure 2 (figures/fig3-workflow/FigureS2.pdf)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 The reconstruction can be exported in a variety of formats, including a tabular format similar to the one shown here.</w:t>
      </w:r>
      <w:r>
        <w:t xml:space="preserve"> </w:t>
      </w:r>
      <w:r>
        <w:rPr>
          <w:b/>
        </w:rPr>
        <w:t xml:space="preserve">(B)</w:t>
      </w:r>
      <w:r>
        <w:t xml:space="preserve"> </w:t>
      </w:r>
      <w:r>
        <w:t xml:space="preserve">The metabolic network reconstruction is converted to a hypergraph, in which metabolites are represented as nodes and reactions as hyperedges. In this representation, an edge can connect more than two nodes. For clarity, protons are not shown.</w:t>
      </w:r>
      <w:r>
        <w:t xml:space="preserve"> </w:t>
      </w:r>
      <w:r>
        <w:rPr>
          <w:b/>
        </w:rPr>
        <w:t xml:space="preserve">(C)</w:t>
      </w:r>
      <w:r>
        <w:t xml:space="preserve"> </w:t>
      </w:r>
      <w:r>
        <w:t xml:space="preserve">The hypergraph is converted to a metabolic network graph, in which an edge can connect only two nodes. In this representation, a reaction is represented by a set of edges connecting all substrates to all products.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Representation of glycolysis after pruning. The images in (B) and (C) are modified from</w:t>
      </w:r>
      <w:r>
        <w:t xml:space="preserve"> </w:t>
      </w:r>
      <w:r>
        <w:t xml:space="preserve">(Ma and Zeng</w:t>
      </w:r>
      <w:r>
        <w:t xml:space="preserve"> </w:t>
      </w:r>
      <w:hyperlink w:anchor="ref-Ma2003">
        <w:r>
          <w:rPr>
            <w:rStyle w:val="Hyperlink"/>
          </w:rPr>
          <w:t xml:space="preserve">2003</w:t>
        </w:r>
      </w:hyperlink>
      <w:r>
        <w:t xml:space="preserve">)</w:t>
      </w:r>
      <w:r>
        <w:t xml:space="preserve">.</w:t>
      </w:r>
    </w:p>
    <w:p>
      <w:pPr>
        <w:pStyle w:val="BodyText"/>
      </w:pPr>
      <w:r>
        <w:t xml:space="preserve"> </w:t>
      </w:r>
    </w:p>
    <w:p>
      <w:pPr>
        <w:pStyle w:val="Heading2"/>
      </w:pPr>
      <w:bookmarkStart w:id="30" w:name="supplementary-figure-3-figuresfig3-workflowfigures3.pdf"/>
      <w:bookmarkEnd w:id="30"/>
      <w:r>
        <w:t xml:space="preserve">Supplementary Figure 3 (figures/fig3-workflow/FigureS3.pdf)</w:t>
      </w:r>
    </w:p>
    <w:p>
      <w:pPr>
        <w:pStyle w:val="FirstParagraph"/>
      </w:pPr>
      <w:r>
        <w:t xml:space="preserve"> </w:t>
      </w:r>
    </w:p>
    <w:p>
      <w:pPr>
        <w:pStyle w:val="BodyText"/>
      </w:pPr>
      <w:r>
        <w:t xml:space="preserve">Identifying seed compounds in metabolic networks, using the same metabolic network as in Supplemental Figure S3.</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circles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w:t>
      </w:r>
    </w:p>
    <w:p>
      <w:pPr>
        <w:pStyle w:val="BodyText"/>
      </w:pPr>
      <w:r>
        <w:t xml:space="preserve"> </w:t>
      </w:r>
    </w:p>
    <w:p>
      <w:pPr>
        <w:pStyle w:val="Heading2"/>
      </w:pPr>
      <w:bookmarkStart w:id="31" w:name="supplementary-figure-4-figuresfig3-workflowfigures4.pdf"/>
      <w:bookmarkEnd w:id="31"/>
      <w:r>
        <w:t xml:space="preserve">Supplementary Figure 4 (figures/fig3-workflow/FigureS4.pdf)</w:t>
      </w:r>
    </w:p>
    <w:p>
      <w:pPr>
        <w:pStyle w:val="FirstParagraph"/>
      </w:pPr>
      <w:r>
        <w:t xml:space="preserve"> </w:t>
      </w:r>
    </w:p>
    <w:p>
      <w:pPr>
        <w:pStyle w:val="BodyText"/>
      </w:pPr>
      <w:r>
        <w:t xml:space="preserve">Complete composite metabolic network graph for clade acI-C, showing disconnected components and the giant strongly connected components. Gray nodes and edges represent disconnected components which are dropped prior to computing the network’s seed sets. Red nodes represent those present in the giant strongly connected component which contains the majority of the metabolites in the network.</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33">
        <w:r>
          <w:rPr>
            <w:rStyle w:val="Hyperlink"/>
          </w:rPr>
          <w:t xml:space="preserve">doi:10.1101/002824</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4">
        <w:r>
          <w:rPr>
            <w:rStyle w:val="Hyperlink"/>
          </w:rPr>
          <w:t xml:space="preserve">doi:10.7717/peerj.243</w:t>
        </w:r>
      </w:hyperlink>
      <w:r>
        <w:t xml:space="preserve">.</w:t>
      </w:r>
    </w:p>
    <w:p>
      <w:pPr>
        <w:pStyle w:val="Bibliography"/>
      </w:pPr>
      <w:r>
        <w:t xml:space="preserve">Gao, Beile, and Radhey S Gupta. 2012. “Phylogenetic Framework and Molecular Signatures for the Main Clades of the Phylum Actinobacteria.”</w:t>
      </w:r>
      <w:r>
        <w:t xml:space="preserve"> </w:t>
      </w:r>
      <w:r>
        <w:rPr>
          <w:i/>
        </w:rPr>
        <w:t xml:space="preserve">Microbiology and Molecular Biology Reviews</w:t>
      </w:r>
      <w:r>
        <w:t xml:space="preserve"> </w:t>
      </w:r>
      <w:r>
        <w:t xml:space="preserve">76 (1): 66–112.</w:t>
      </w:r>
      <w:r>
        <w:t xml:space="preserve"> </w:t>
      </w:r>
      <w:hyperlink r:id="rId35">
        <w:r>
          <w:rPr>
            <w:rStyle w:val="Hyperlink"/>
          </w:rPr>
          <w:t xml:space="preserve">doi:10.1128/MMBR.05011-11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36">
        <w:r>
          <w:rPr>
            <w:rStyle w:val="Hyperlink"/>
          </w:rPr>
          <w:t xml:space="preserve">doi:10.1101/gr.1224503</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37">
        <w:r>
          <w:rPr>
            <w:rStyle w:val="Hyperlink"/>
          </w:rPr>
          <w:t xml:space="preserve">doi:10.1093/bioinformatics/19.2.270</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38">
        <w:r>
          <w:rPr>
            <w:rStyle w:val="Hyperlink"/>
          </w:rPr>
          <w:t xml:space="preserve">doi:10.1038/nmeth.1226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39">
        <w:r>
          <w:rPr>
            <w:rStyle w:val="Hyperlink"/>
          </w:rPr>
          <w:t xml:space="preserve">doi:10.1101/gr.186072.114.Freely</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40">
        <w:r>
          <w:rPr>
            <w:rStyle w:val="Hyperlink"/>
          </w:rPr>
          <w:t xml:space="preserve">doi:10.1093/bioinformatics/btu033</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1b7c7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8" Target="http://doi.org/10.1038/nmeth.1226" TargetMode="External" /><Relationship Type="http://schemas.openxmlformats.org/officeDocument/2006/relationships/hyperlink" Id="rId37" Target="http://doi.org/10.1093/bioinformatics/19.2.270" TargetMode="External" /><Relationship Type="http://schemas.openxmlformats.org/officeDocument/2006/relationships/hyperlink" Id="rId40"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39" Target="http://doi.org/10.1101/gr.186072.114.Freely"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1038/nmeth.1226" TargetMode="External" /><Relationship Type="http://schemas.openxmlformats.org/officeDocument/2006/relationships/hyperlink" Id="rId37" Target="http://doi.org/10.1093/bioinformatics/19.2.270" TargetMode="External" /><Relationship Type="http://schemas.openxmlformats.org/officeDocument/2006/relationships/hyperlink" Id="rId40"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39" Target="http://doi.org/10.1101/gr.186072.114.Freely"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