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single-copy marker genes</w:t>
      </w:r>
      <w:r>
        <w:t xml:space="preserve"> </w:t>
      </w:r>
      <w:r>
        <w:t xml:space="preserve">(Parks et al.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 2003)</w:t>
      </w:r>
      <w:r>
        <w:t xml:space="preserve">. For each cluster, count all unique reads which map to any gene within that cluster using HTSeq</w:t>
      </w:r>
      <w:r>
        <w:t xml:space="preserve"> </w:t>
      </w:r>
      <w:r>
        <w:t xml:space="preserve">(Anders, Pyl, and Huber 2014)</w:t>
      </w:r>
      <w:r>
        <w:t xml:space="preserve"> </w:t>
      </w:r>
      <w:r>
        <w:t xml:space="preserve">and compute the relative gene expression using RPKM</w:t>
      </w:r>
      <w:r>
        <w:t xml:space="preserve"> </w:t>
      </w:r>
      <w:r>
        <w:t xml:space="preserve">(Mortazavi et al.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Compounds in the lower panel are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Compounds actively transported by members of the acI lineage. The intensity of the color indicates the percentile average log2 RPKM of the encoding gene cluster. For multi-subunit transporters, the percentile of the most highly-expressed subunit was chosen.</w:t>
      </w:r>
    </w:p>
    <w:p>
      <w:pPr>
        <w:pStyle w:val="BodyText"/>
      </w:pPr>
      <w:r>
        <w:t xml:space="preserve"> </w:t>
      </w:r>
    </w:p>
    <w:p>
      <w:pPr>
        <w:pStyle w:val="Heading2"/>
      </w:pPr>
      <w:bookmarkStart w:id="28" w:name="figure-6-figuresfig6-actractr-expression.pdf"/>
      <w:bookmarkEnd w:id="28"/>
      <w:r>
        <w:t xml:space="preserve">Figure 6 (figures/fig6-actR/actR-expression.pdf)</w:t>
      </w:r>
    </w:p>
    <w:p>
      <w:pPr>
        <w:pStyle w:val="FirstParagraph"/>
      </w:pPr>
      <w:r>
        <w:t xml:space="preserve"> </w:t>
      </w:r>
    </w:p>
    <w:p>
      <w:pPr>
        <w:pStyle w:val="BodyText"/>
      </w:pPr>
      <w:r>
        <w:t xml:space="preserve">acI actinobacteria contain a retinal-based photosystem, comprising the opsin protein actinorhodopsin and the chromophore retinal.</w:t>
      </w:r>
      <w:r>
        <w:t xml:space="preserve"> </w:t>
      </w:r>
      <w:r>
        <w:rPr>
          <w:b/>
        </w:rPr>
        <w:t xml:space="preserve">(A)</w:t>
      </w:r>
      <w:r>
        <w:t xml:space="preserve"> </w:t>
      </w:r>
      <w:r>
        <w:t xml:space="preserve">Pathway for the biosynthesis of retinal from</w:t>
      </w:r>
      <w:r>
        <w:t xml:space="preserve"> </w:t>
      </w:r>
      <w:r>
        <w:rPr>
          <w:i/>
        </w:rPr>
        <w:t xml:space="preserve">trans,trans</w:t>
      </w:r>
      <w:r>
        <w:t xml:space="preserve">-farnesyl diphosphate.</w:t>
      </w:r>
      <w:r>
        <w:t xml:space="preserve"> </w:t>
      </w:r>
      <w:r>
        <w:rPr>
          <w:b/>
        </w:rPr>
        <w:t xml:space="preserve">(B)</w:t>
      </w:r>
      <w:r>
        <w:t xml:space="preserve"> </w:t>
      </w:r>
      <w:r>
        <w:t xml:space="preserve">Relative expression of the genes for retinal and actinorhodopsin biosynthesis. The intensity of the color indicates the percentile average log2 RPKM of the encoding gene cluster. Note: The gene</w:t>
      </w:r>
      <w:r>
        <w:t xml:space="preserve"> </w:t>
      </w:r>
      <w:r>
        <w:rPr>
          <w:i/>
        </w:rPr>
        <w:t xml:space="preserve">blh</w:t>
      </w:r>
      <w:r>
        <w:t xml:space="preserve"> </w:t>
      </w:r>
      <w:r>
        <w:t xml:space="preserve">was not found in the acI-C metagenome-assembled genomes examined in this study.</w:t>
      </w:r>
    </w:p>
    <w:p>
      <w:pPr>
        <w:pStyle w:val="BodyText"/>
      </w:pPr>
      <w:r>
        <w:t xml:space="preserve"> </w:t>
      </w:r>
    </w:p>
    <w:p>
      <w:pPr>
        <w:pStyle w:val="Heading2"/>
      </w:pPr>
      <w:bookmarkStart w:id="29" w:name="supplementary-figure-1-figuresfig1-treetree-full.pdf"/>
      <w:bookmarkEnd w:id="29"/>
      <w:r>
        <w:t xml:space="preserve">Supplementary Figure 1 (figures/fig1-tree/tree-full.pdf)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30" w:name="supplementary-figure-2-figuresfig3-workflowfigures2.pdf"/>
      <w:bookmarkEnd w:id="30"/>
      <w:r>
        <w:t xml:space="preserve">Supplementary Figure 2 (figures/fig3-workflow/FigureS2.pdf)</w:t>
      </w:r>
    </w:p>
    <w:p>
      <w:pPr>
        <w:pStyle w:val="FirstParagraph"/>
      </w:pPr>
      <w:r>
        <w:t xml:space="preserve"> </w:t>
      </w:r>
    </w:p>
    <w:p>
      <w:pPr>
        <w:pStyle w:val="BodyText"/>
      </w:pPr>
      <w:r>
        <w:t xml:space="preserve">Pruning a metabolic network graph, using glycolysis as an example.</w:t>
      </w:r>
      <w:r>
        <w:t xml:space="preserve"> </w:t>
      </w:r>
      <w:r>
        <w:rPr>
          <w:b/>
        </w:rPr>
        <w:t xml:space="preserve">(A)</w:t>
      </w:r>
      <w:r>
        <w:t xml:space="preserve"> </w:t>
      </w:r>
      <w:r>
        <w:t xml:space="preserve">Metabolic reconstruction for glycolysis. This panel also shows the KBase reaction IDs corresponding to each step of glycolysis, as well as the gene(s) encoding the enzyme for that step. Genes are shown only for the TE02754 genome.</w:t>
      </w:r>
      <w:r>
        <w:t xml:space="preserve"> </w:t>
      </w:r>
      <w:r>
        <w:rPr>
          <w:b/>
        </w:rPr>
        <w:t xml:space="preserve">(B)</w:t>
      </w:r>
      <w:r>
        <w:t xml:space="preserve"> </w:t>
      </w:r>
      <w:r>
        <w:t xml:space="preserve">Glycolysis represented as a metabolic network graph. Currency metabolites are circumscribed by a dotted rectangle. For clarity, protons are not shown.</w:t>
      </w:r>
      <w:r>
        <w:t xml:space="preserve"> </w:t>
      </w:r>
      <w:r>
        <w:rPr>
          <w:b/>
        </w:rPr>
        <w:t xml:space="preserve">(C)</w:t>
      </w:r>
      <w:r>
        <w:t xml:space="preserve"> </w:t>
      </w:r>
      <w:r>
        <w:t xml:space="preserve">Representation of glycolysis after pruning. The images in (A) and (B) are modified from</w:t>
      </w:r>
      <w:r>
        <w:t xml:space="preserve"> </w:t>
      </w:r>
      <w:r>
        <w:t xml:space="preserve">(Ma and Zeng 2003)</w:t>
      </w:r>
      <w:r>
        <w:t xml:space="preserve">.</w:t>
      </w:r>
    </w:p>
    <w:p>
      <w:pPr>
        <w:pStyle w:val="BodyText"/>
      </w:pPr>
      <w:r>
        <w:t xml:space="preserve"> </w:t>
      </w:r>
    </w:p>
    <w:p>
      <w:pPr>
        <w:pStyle w:val="Heading2"/>
      </w:pPr>
      <w:bookmarkStart w:id="31" w:name="supplementary-figure-3-figuresfig3-workflowfigures3.pdf"/>
      <w:bookmarkEnd w:id="31"/>
      <w:r>
        <w:t xml:space="preserve">Supplementary Figure 3 (figures/fig3-workflow/FigureS3.pdf)</w:t>
      </w:r>
    </w:p>
    <w:p>
      <w:pPr>
        <w:pStyle w:val="FirstParagraph"/>
      </w:pPr>
      <w:r>
        <w:t xml:space="preserve"> </w:t>
      </w:r>
    </w:p>
    <w:p>
      <w:pPr>
        <w:pStyle w:val="BodyText"/>
      </w:pPr>
      <w:r>
        <w:t xml:space="preserve">Identifying seed compounds in metabolic networks.</w:t>
      </w:r>
      <w:r>
        <w:t xml:space="preserve"> </w:t>
      </w:r>
      <w:r>
        <w:rPr>
          <w:b/>
        </w:rPr>
        <w:t xml:space="preserve">(A)</w:t>
      </w:r>
      <w:r>
        <w:t xml:space="preserve"> </w:t>
      </w:r>
      <w:r>
        <w:t xml:space="preserve">Metabolic network graph for an imaginary network. Grey circles represent metabolites and arcs represent reactions or parts of reactions.</w:t>
      </w:r>
      <w:r>
        <w:t xml:space="preserve"> </w:t>
      </w:r>
      <w:r>
        <w:rPr>
          <w:b/>
        </w:rPr>
        <w:t xml:space="preserve">(B)</w:t>
      </w:r>
      <w:r>
        <w:t xml:space="preserve"> </w:t>
      </w:r>
      <w:r>
        <w:t xml:space="preserve">To identify seed compounds, the metabolic network graph is first decomposed into its strongly connected components (SCCs), sets of nodes such that each node in the set is reachable from every other node. Here, each colored set of nodes corresponds to a unique SCC.</w:t>
      </w:r>
      <w:r>
        <w:t xml:space="preserve"> </w:t>
      </w:r>
      <w:r>
        <w:rPr>
          <w:b/>
        </w:rPr>
        <w:t xml:space="preserve">(C)</w:t>
      </w:r>
      <w:r>
        <w:t xml:space="preserve"> </w:t>
      </w:r>
      <w:r>
        <w:t xml:space="preserve">SCC decomposition enables seed sets to be identified from source components (components with no incoming edges) on the condensation of the original graph. In the condensation of the original graph shown here, each colored node corresponds to a unique SCC (and a potential seed se). Seed sets are enclosed in dotted circles. The pink seed set contains three seed compounds, the orange contains two, and the blue and yellow each contain one seed compound. The images in (A) and (B) are modified from</w:t>
      </w:r>
      <w:r>
        <w:t xml:space="preserve"> </w:t>
      </w:r>
      <w:r>
        <w:t xml:space="preserve">(Borenstein et al. 2008)</w:t>
      </w:r>
      <w:r>
        <w:t xml:space="preserve">.</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3">
        <w:r>
          <w:rPr>
            <w:rStyle w:val="Hyperlink"/>
          </w:rPr>
          <w:t xml:space="preserve">doi:10.1101/002824</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34">
        <w:r>
          <w:rPr>
            <w:rStyle w:val="Hyperlink"/>
          </w:rPr>
          <w:t xml:space="preserve">doi:10.1073/pnas.0806162105</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5">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6">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7">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8">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9">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40">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1">
        <w:r>
          <w:rPr>
            <w:rStyle w:val="Hyperlink"/>
          </w:rPr>
          <w:t xml:space="preserve">doi:10.1093/bioinformatics/btu033</w:t>
        </w:r>
      </w:hyperlink>
      <w:r>
        <w:t xml:space="preserve">.</w:t>
      </w:r>
    </w:p>
    <w:sectPr w:rsidR="003C7D47" w:rsidRPr="00FC137A"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3B96C" w14:textId="77777777" w:rsidR="00885913" w:rsidRDefault="00885913"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9301A" w14:textId="77777777" w:rsidR="005F4B3D" w:rsidRDefault="00195E1C"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D6376" w14:textId="77777777" w:rsidR="00885913" w:rsidRDefault="00885913"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4CE4">
      <w:rPr>
        <w:rStyle w:val="PageNumber"/>
        <w:noProof/>
      </w:rPr>
      <w:t>1</w:t>
    </w:r>
    <w:r>
      <w:rPr>
        <w:rStyle w:val="PageNumber"/>
      </w:rPr>
      <w:fldChar w:fldCharType="end"/>
    </w:r>
  </w:p>
  <w:p w14:paraId="670BBC6A" w14:textId="77777777" w:rsidR="005F4B3D" w:rsidRPr="004C0D30" w:rsidRDefault="005F4B3D"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b98d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396"/>
    <w:pPr>
      <w:spacing w:line="480" w:lineRule="auto"/>
      <w:jc w:val="both"/>
    </w:pPr>
    <w:rPr>
      <w:rFonts w:ascii="Arial" w:hAnsi="Arial"/>
      <w:sz w:val="24"/>
      <w:szCs w:val="24"/>
    </w:rPr>
  </w:style>
  <w:style w:type="paragraph" w:styleId="Heading1">
    <w:name w:val="heading 1"/>
    <w:basedOn w:val="Normal"/>
    <w:next w:val="Normal"/>
    <w:link w:val="Heading1Char"/>
    <w:uiPriority w:val="9"/>
    <w:qFormat/>
    <w:rsid w:val="005773B2"/>
    <w:pPr>
      <w:keepNext/>
      <w:keepLines/>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DD1396"/>
    <w:pPr>
      <w:keepNext/>
      <w:keepLines/>
      <w:outlineLvl w:val="1"/>
    </w:pPr>
    <w:rPr>
      <w:rFonts w:eastAsia="ＭＳ ゴシック"/>
      <w:b/>
      <w:bCs/>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773B2"/>
    <w:rPr>
      <w:rFonts w:ascii="Arial" w:eastAsia="ＭＳ ゴシック" w:hAnsi="Arial"/>
      <w:b/>
      <w:bCs/>
      <w:sz w:val="24"/>
      <w:szCs w:val="28"/>
    </w:rPr>
  </w:style>
  <w:style w:type="character" w:customStyle="1" w:styleId="Heading2Char">
    <w:name w:val="Heading 2 Char"/>
    <w:link w:val="Heading2"/>
    <w:uiPriority w:val="9"/>
    <w:rsid w:val="00DD1396"/>
    <w:rPr>
      <w:rFonts w:ascii="Arial" w:eastAsia="ＭＳ ゴシック" w:hAnsi="Arial"/>
      <w:b/>
      <w:bCs/>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5773B2"/>
    <w:pPr>
      <w:contextualSpacing/>
      <w:jc w:val="left"/>
    </w:pPr>
    <w:rPr>
      <w:rFonts w:eastAsia="ＭＳ ゴシック"/>
      <w:b/>
      <w:spacing w:val="5"/>
      <w:kern w:val="28"/>
      <w:szCs w:val="36"/>
    </w:rPr>
  </w:style>
  <w:style w:type="character" w:customStyle="1" w:styleId="TitleChar">
    <w:name w:val="Title Char"/>
    <w:link w:val="Title"/>
    <w:uiPriority w:val="10"/>
    <w:rsid w:val="005773B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2A04ED"/>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2A04ED"/>
    <w:rPr>
      <w:rFonts w:ascii="Calibri" w:eastAsia="ＭＳ ゴシック" w:hAnsi="Calibri" w:cs="Times New Roman"/>
      <w:i/>
      <w:iCs/>
      <w:color w:val="4F81BD"/>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Title"/>
    <w:link w:val="AuthorChar"/>
    <w:qFormat/>
    <w:rsid w:val="00DD1396"/>
    <w:rPr>
      <w:b w:val="0"/>
    </w:rPr>
  </w:style>
  <w:style w:type="character" w:customStyle="1" w:styleId="AuthorChar">
    <w:name w:val="Author Char"/>
    <w:basedOn w:val="TitleChar"/>
    <w:link w:val="Author"/>
    <w:rsid w:val="00DD1396"/>
    <w:rPr>
      <w:rFonts w:ascii="Arial" w:eastAsia="ＭＳ ゴシック" w:hAnsi="Arial"/>
      <w:b w:val="0"/>
      <w:spacing w:val="5"/>
      <w:kern w:val="28"/>
      <w:sz w:val="28"/>
      <w:szCs w:val="36"/>
    </w:rPr>
  </w:style>
  <w:style w:type="paragraph" w:styleId="Date">
    <w:name w:val="Date"/>
    <w:basedOn w:val="Normal"/>
    <w:next w:val="Normal"/>
    <w:link w:val="DateChar"/>
    <w:uiPriority w:val="99"/>
    <w:unhideWhenUsed/>
    <w:rsid w:val="00EF4CE4"/>
    <w:pPr>
      <w:jc w:val="left"/>
    </w:pPr>
  </w:style>
  <w:style w:type="character" w:customStyle="1" w:styleId="DateChar">
    <w:name w:val="Date Char"/>
    <w:basedOn w:val="DefaultParagraphFont"/>
    <w:link w:val="Date"/>
    <w:uiPriority w:val="99"/>
    <w:rsid w:val="00EF4CE4"/>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9" Target="http://doi.org/10.1038/nmeth.1226" TargetMode="External" /><Relationship Type="http://schemas.openxmlformats.org/officeDocument/2006/relationships/hyperlink" Id="rId34" Target="http://doi.org/10.1073/pnas.0806162105" TargetMode="External" /><Relationship Type="http://schemas.openxmlformats.org/officeDocument/2006/relationships/hyperlink" Id="rId38"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7"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6" Target="http://doi.org/10.1128/MMBR.05011-11" TargetMode="External" /><Relationship Type="http://schemas.openxmlformats.org/officeDocument/2006/relationships/hyperlink" Id="rId35"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1038/nmeth.1226" TargetMode="External" /><Relationship Type="http://schemas.openxmlformats.org/officeDocument/2006/relationships/hyperlink" Id="rId34" Target="http://doi.org/10.1073/pnas.0806162105" TargetMode="External" /><Relationship Type="http://schemas.openxmlformats.org/officeDocument/2006/relationships/hyperlink" Id="rId38"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7"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6" Target="http://doi.org/10.1128/MMBR.05011-11" TargetMode="External" /><Relationship Type="http://schemas.openxmlformats.org/officeDocument/2006/relationships/hyperlink" Id="rId35"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shamilton:Library:Application%20Support:Microsoft:Office:User%20Templates:My%20Templates:Job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JobDocument.dot</Template>
  <TotalTime>8</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