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4233330 - Consolidation - Setting up child engagements</w:t>
      </w:r>
    </w:p>
    <w:p>
      <w:r>
        <w:t>[EM] Consolidation - Setting up child engagements (Epic 4233330)1. Customer Problemmany child engagements is slow with today’s per-engagement wizard. Inconsistent settings across children cause reporting drift.</w:t>
      </w:r>
    </w:p>
    <w:p/>
    <w:p>
      <w:pPr>
        <w:spacing w:before="120" w:after="120"/>
      </w:pPr>
      <w:r>
        <w:rPr>
          <w:b/>
        </w:rPr>
        <w:t>2. Customer Researchnotes and user feedback: desire to create children in-line from the consolidation setup, copy key structures (groupings, subcodes) without TB accounts or workpapers.</w:t>
      </w:r>
    </w:p>
    <w:p/>
    <w:p>
      <w:r>
        <w:t>This capability was requested as feedback from an enterprise-level accounting firm, reflecting needs observed in large multi-entity audit workflows.</w:t>
      </w:r>
    </w:p>
    <w:p>
      <w:r>
        <w:t>We are also building this to achieve competitive parity with Wolters Kluwer ProSystem fx Engagement, which offers similar functionality.</w:t>
      </w:r>
    </w:p>
    <w:p/>
    <w:p>
      <w:pPr>
        <w:spacing w:before="120" w:after="120"/>
      </w:pPr>
      <w:r>
        <w:rPr>
          <w:b/>
        </w:rPr>
        <w:t>3. Our SolutionIn-line child creation on the parent Setup/Consolidation screen.</w:t>
      </w:r>
    </w:p>
    <w:p/>
    <w:p>
      <w:r>
        <w:t>- Leverage “copy from existing” patterns: copy account groupings and tax subcodes from parent; do not copy TB accounts or workpapers; set child structure to None.</w:t>
      </w:r>
    </w:p>
    <w:p>
      <w:r>
        <w:t>- Batch operations and validation for naming, masks, and permissions.</w:t>
      </w:r>
    </w:p>
    <w:p>
      <w:r>
        <w:t>Dependencies: copy engagement services, permissions, templates.</w:t>
      </w:r>
    </w:p>
    <w:p/>
    <w:p>
      <w:pPr>
        <w:spacing w:before="120" w:after="120"/>
      </w:pPr>
      <w:r>
        <w:rPr>
          <w:b/>
        </w:rPr>
        <w:t>4. Product MetricsTime to create 5 children: -60%.</w:t>
      </w:r>
    </w:p>
    <w:p/>
    <w:p>
      <w:r>
        <w:t>- Post-creation remediation due to misconfig: -80%.</w:t>
      </w:r>
    </w:p>
    <w:p>
      <w:r>
        <w:t>- NPS for setup experience: +10 pts.</w:t>
      </w:r>
    </w:p>
    <w:p>
      <w:r>
        <w:t>Appendix: Child Features4237588 Streamlined In-line Child Engagement Creation</w:t>
      </w:r>
    </w:p>
    <w:p>
      <w:r>
        <w:t>- 4237589 Child Engagement Property Synchronization</w:t>
      </w:r>
    </w:p>
    <w:p>
      <w:r>
        <w:t>Appendix: LinksHYPERLINK "https://dev.azure.com/tr-tax/TaxProf/_workitems/edit/4233330"Open Epic 4233330</w:t>
      </w:r>
    </w:p>
    <w:p/>
    <w:p>
      <w:pPr>
        <w:pStyle w:val="Heading2"/>
      </w:pPr>
      <w:r>
        <w:t>Appendix: Links</w:t>
      </w:r>
    </w:p>
    <w:p>
      <w:r>
        <w:t xml:space="preserve">ADO Epic Link: </w:t>
      </w:r>
      <w:r>
        <w:t>https://dev.azure.com/tr-tax/TaxProf/_workitems/edit/4233330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