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4237582 - Note format preservation across interfaces</w:t>
      </w:r>
    </w:p>
    <w:p>
      <w:r>
        <w:t>Note format preservation across interfaces (Epic 4237582)1. Customer Problem(line breaks, bullets) is lost or inconsistent between EM UI, reports, and add-ins, hurting clarity.</w:t>
      </w:r>
    </w:p>
    <w:p>
      <w:r>
        <w:t>2. Customer Researchrequest for cohesive formatting across surfaces.</w:t>
      </w:r>
    </w:p>
    <w:p>
      <w:r>
        <w:t>3. Our SolutionNormalize note rich-text model and rendering across clients.</w:t>
      </w:r>
    </w:p>
    <w:p>
      <w:r>
        <w:t>- Add tests for bullets, lists, whitespace, and encoding.</w:t>
      </w:r>
    </w:p>
    <w:p>
      <w:r>
        <w:t>Dependencies: FE renderers, report engine, add-in components.</w:t>
      </w:r>
    </w:p>
    <w:p>
      <w:r>
        <w:t>4. Product MetricsFormatting defect rate on notes: -80%.</w:t>
      </w:r>
    </w:p>
    <w:p>
      <w:r>
        <w:t>- Consistency audit pass rate: 100%.</w:t>
      </w:r>
    </w:p>
    <w:p>
      <w:r>
        <w:t>Appendix: Child Features4237583 Notes list Bottom Splitter Pane Format Preservation</w:t>
      </w:r>
    </w:p>
    <w:p>
      <w:r>
        <w:t>- 4237584 Format Preservation in Reports</w:t>
      </w:r>
    </w:p>
    <w:p>
      <w:r>
        <w:t>Appendix: LinksHYPERLINK "https://dev.azure.com/tr-tax/TaxProf/_workitems/edit/4237582"Open Epic 4237582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https://dev.azure.com/tr-tax/TaxProf/_workitems/edit/4237582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