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B4F72"/>
          <w:sz w:val="48"/>
          <w:szCs w:val="48"/>
        </w:rPr>
        <w:t xml:space="preserve">MEXORA RH INTELLIGENCE</w:t>
      </w:r>
    </w:p>
    <w:p>
      <w:pPr>
        <w:spacing w:after="200"/>
        <w:jc w:val="center"/>
      </w:pPr>
      <w:r>
        <w:rPr>
          <w:rFonts w:ascii="Arial" w:cs="Arial" w:eastAsia="Arial" w:hAnsi="Arial"/>
          <w:color w:val="2E86C1"/>
          <w:sz w:val="32"/>
          <w:szCs w:val="32"/>
        </w:rPr>
        <w:t xml:space="preserve">Data Lake Architecture Design Document</w:t>
      </w:r>
    </w:p>
    <w:p>
      <w:pPr>
        <w:spacing w:after="200"/>
        <w:jc w:val="center"/>
      </w:pPr>
      <w:r>
        <w:rPr>
          <w:rFonts w:ascii="Arial" w:cs="Arial" w:eastAsia="Arial" w:hAnsi="Arial"/>
          <w:color w:val="555555"/>
          <w:sz w:val="24"/>
          <w:szCs w:val="24"/>
        </w:rPr>
        <w:t xml:space="preserve">Step 1 — Architecture &amp; Design Justification</w:t>
      </w:r>
    </w:p>
    <w:p>
      <w:pPr>
        <w:spacing w:after="80"/>
        <w:jc w:val="center"/>
      </w:pPr>
      <w:r>
        <w:rPr>
          <w:rFonts w:ascii="Arial" w:cs="Arial" w:eastAsia="Arial" w:hAnsi="Arial"/>
          <w:color w:val="666666"/>
          <w:sz w:val="22"/>
          <w:szCs w:val="22"/>
        </w:rPr>
        <w:t xml:space="preserve">Data Engineering Course — End-of-Study Project</w:t>
      </w:r>
    </w:p>
    <w:p>
      <w:pPr>
        <w:spacing w:after="80"/>
        <w:jc w:val="center"/>
      </w:pPr>
      <w:r>
        <w:rPr>
          <w:rFonts w:ascii="Arial" w:cs="Arial" w:eastAsia="Arial" w:hAnsi="Arial"/>
          <w:color w:val="666666"/>
          <w:sz w:val="22"/>
          <w:szCs w:val="22"/>
        </w:rPr>
        <w:t xml:space="preserve">April 2026</w:t>
      </w:r>
    </w:p>
    <w:p>
      <w:r>
        <w:br w:type="page"/>
      </w:r>
    </w:p>
    <w:p>
      <w:pPr>
        <w:pStyle w:val="Heading1"/>
      </w:pPr>
      <w:r>
        <w:rPr>
          <w:rFonts w:ascii="Arial" w:cs="Arial" w:eastAsia="Arial" w:hAnsi="Arial"/>
          <w:b/>
          <w:bCs/>
          <w:color w:val="1B4F72"/>
          <w:sz w:val="32"/>
          <w:szCs w:val="32"/>
        </w:rPr>
        <w:t xml:space="preserve">1. Project Context</w:t>
      </w:r>
    </w:p>
    <w:p>
      <w:pPr>
        <w:spacing w:after="160"/>
      </w:pPr>
      <w:r>
        <w:rPr>
          <w:rFonts w:ascii="Arial" w:cs="Arial" w:eastAsia="Arial" w:hAnsi="Arial"/>
          <w:b w:val="false"/>
          <w:bCs w:val="false"/>
          <w:sz w:val="22"/>
          <w:szCs w:val="22"/>
        </w:rPr>
        <w:t xml:space="preserve">Mexora is an e-commerce company headquartered in Tanger, Morocco. Its HR Director plans to recruit 5 data profiles to support the company's digital expansion. Before launching the recruitment process, Mexora commissioned a data-driven market intelligence study of the Moroccan IT job market.</w:t>
      </w:r>
    </w:p>
    <w:p>
      <w:pPr>
        <w:spacing w:after="160"/>
      </w:pPr>
      <w:r>
        <w:rPr>
          <w:rFonts w:ascii="Arial" w:cs="Arial" w:eastAsia="Arial" w:hAnsi="Arial"/>
          <w:b w:val="false"/>
          <w:bCs w:val="false"/>
          <w:sz w:val="22"/>
          <w:szCs w:val="22"/>
        </w:rPr>
        <w:t xml:space="preserve">This document describes the architecture of the Data Lake built to support that study: ingestion of 5,000 IT job offers from three sources (Rekrute, MarocAnnonce, LinkedIn Morocco), transformation through three quality zones (Bronze, Silver, Gold), NLP-based skill extraction, and DuckDB-powered analytics.</w:t>
      </w:r>
    </w:p>
    <w:p>
      <w:pPr>
        <w:spacing w:after="80"/>
      </w:pPr>
      <w:r>
        <w:rPr>
          <w:sz w:val="22"/>
          <w:szCs w:val="22"/>
        </w:rPr>
        <w:t xml:space="preserve"/>
      </w:r>
    </w:p>
    <w:p>
      <w:pPr>
        <w:pStyle w:val="Heading1"/>
      </w:pPr>
      <w:r>
        <w:rPr>
          <w:rFonts w:ascii="Arial" w:cs="Arial" w:eastAsia="Arial" w:hAnsi="Arial"/>
          <w:b/>
          <w:bCs/>
          <w:color w:val="1B4F72"/>
          <w:sz w:val="32"/>
          <w:szCs w:val="32"/>
        </w:rPr>
        <w:t xml:space="preserve">2. Architecture Overview — Bronze / Silver / Gold</w:t>
      </w:r>
    </w:p>
    <w:p>
      <w:pPr>
        <w:spacing w:after="160"/>
      </w:pPr>
      <w:r>
        <w:rPr>
          <w:rFonts w:ascii="Arial" w:cs="Arial" w:eastAsia="Arial" w:hAnsi="Arial"/>
          <w:b w:val="false"/>
          <w:bCs w:val="false"/>
          <w:sz w:val="22"/>
          <w:szCs w:val="22"/>
        </w:rPr>
        <w:t xml:space="preserve">The Data Lake follows a medallion architecture with three zones of increasing data quality and business readiness. This pattern is the industry standard for data lakes because it separates concerns clearly: raw preservation (Bronze), quality and standardisation (Silver), and business aggregation (Gold).</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Format</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Bronze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Immutable raw archive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 (partitioned)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 raw offers, 69 partitions by source/month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Silver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Cleaned, standardised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Parquet (Snappy)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offres_clean.parquet (787 KB), competences.parquet (209 KB)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aggregations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Parquet (Snappy)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analytical tables (8–11 KB each)</w:t>
            </w:r>
          </w:p>
        </w:tc>
      </w:tr>
    </w:tbl>
    <w:p>
      <w:pPr>
        <w:spacing w:after="80"/>
      </w:pPr>
      <w:r>
        <w:rPr>
          <w:sz w:val="22"/>
          <w:szCs w:val="22"/>
        </w:rPr>
        <w:t xml:space="preserve"/>
      </w:r>
    </w:p>
    <w:p>
      <w:pPr>
        <w:spacing w:after="80"/>
      </w:pPr>
      <w:r>
        <w:rPr>
          <w:sz w:val="22"/>
          <w:szCs w:val="22"/>
        </w:rPr>
        <w:t xml:space="preserve"/>
      </w:r>
    </w:p>
    <w:p>
      <w:pPr>
        <w:pStyle w:val="Heading2"/>
      </w:pPr>
      <w:r>
        <w:rPr>
          <w:rFonts w:ascii="Arial" w:cs="Arial" w:eastAsia="Arial" w:hAnsi="Arial"/>
          <w:b/>
          <w:bCs/>
          <w:color w:val="2E86C1"/>
          <w:sz w:val="26"/>
          <w:szCs w:val="26"/>
        </w:rPr>
        <w:t xml:space="preserve">2.1 Bronze Zone — Immutable Raw Archive</w:t>
      </w:r>
    </w:p>
    <w:p>
      <w:pPr>
        <w:spacing w:after="160"/>
      </w:pPr>
      <w:r>
        <w:rPr>
          <w:rFonts w:ascii="Arial" w:cs="Arial" w:eastAsia="Arial" w:hAnsi="Arial"/>
          <w:b w:val="false"/>
          <w:bCs w:val="false"/>
          <w:sz w:val="22"/>
          <w:szCs w:val="22"/>
        </w:rPr>
        <w:t xml:space="preserve">Principle: data is loaded exactly as received from the source. No field is modified, renamed, or cleaned. The Bronze zone is the faithful archive of what was ingested.</w:t>
      </w:r>
    </w:p>
    <w:p>
      <w:pPr>
        <w:spacing w:after="160"/>
      </w:pPr>
      <w:r>
        <w:rPr>
          <w:rFonts w:ascii="Arial" w:cs="Arial" w:eastAsia="Arial" w:hAnsi="Arial"/>
          <w:b w:val="false"/>
          <w:bCs w:val="false"/>
          <w:sz w:val="22"/>
          <w:szCs w:val="22"/>
        </w:rPr>
        <w:t xml:space="preserve">Partitioning: offers are partitioned by source (rekrute, marocannonce, linkedin) and by publication month (YYYY_MM). This produces a directory structure of the form:</w:t>
      </w:r>
    </w:p>
    <w:p>
      <w:pPr>
        <w:spacing w:after="160"/>
      </w:pPr>
      <w:r>
        <w:rPr>
          <w:rFonts w:ascii="Arial" w:cs="Arial" w:eastAsia="Arial" w:hAnsi="Arial"/>
          <w:b w:val="false"/>
          <w:bCs w:val="false"/>
          <w:sz w:val="22"/>
          <w:szCs w:val="22"/>
        </w:rPr>
        <w:t xml:space="preserve">    bronze/{source}/{YYYY_MM}/offres_raw.json</w:t>
      </w:r>
    </w:p>
    <w:p>
      <w:pPr>
        <w:spacing w:after="160"/>
      </w:pPr>
      <w:r>
        <w:rPr>
          <w:rFonts w:ascii="Arial" w:cs="Arial" w:eastAsia="Arial" w:hAnsi="Arial"/>
          <w:b w:val="false"/>
          <w:bCs w:val="false"/>
          <w:sz w:val="22"/>
          <w:szCs w:val="22"/>
        </w:rPr>
        <w:t xml:space="preserve">Result: 69 partition files across 3 sources and 23 months (January 2023 to November 2024). Each partition file contains a metadata wrapper (ingestion timestamp, schema version) and the raw offer array.</w:t>
      </w:r>
    </w:p>
    <w:p>
      <w:pPr>
        <w:spacing w:after="160"/>
      </w:pPr>
      <w:r>
        <w:rPr>
          <w:rFonts w:ascii="Arial" w:cs="Arial" w:eastAsia="Arial" w:hAnsi="Arial"/>
          <w:b w:val="false"/>
          <w:bCs w:val="false"/>
          <w:sz w:val="22"/>
          <w:szCs w:val="22"/>
        </w:rPr>
        <w:t xml:space="preserve">Justification for immutability: if a bug is discovered in the Silver cleaning logic, the pipeline can be re-run from Bronze without re-downloading the source data. Full data lineage is preserved.</w:t>
      </w:r>
    </w:p>
    <w:p>
      <w:pPr>
        <w:spacing w:after="80"/>
      </w:pPr>
      <w:r>
        <w:rPr>
          <w:sz w:val="22"/>
          <w:szCs w:val="22"/>
        </w:rPr>
        <w:t xml:space="preserve"/>
      </w:r>
    </w:p>
    <w:p>
      <w:pPr>
        <w:pStyle w:val="Heading2"/>
      </w:pPr>
      <w:r>
        <w:rPr>
          <w:rFonts w:ascii="Arial" w:cs="Arial" w:eastAsia="Arial" w:hAnsi="Arial"/>
          <w:b/>
          <w:bCs/>
          <w:color w:val="2E86C1"/>
          <w:sz w:val="26"/>
          <w:szCs w:val="26"/>
        </w:rPr>
        <w:t xml:space="preserve">2.2 Silver Zone — Cleaned Parquet</w:t>
      </w:r>
    </w:p>
    <w:p>
      <w:pPr>
        <w:spacing w:after="160"/>
      </w:pPr>
      <w:r>
        <w:rPr>
          <w:rFonts w:ascii="Arial" w:cs="Arial" w:eastAsia="Arial" w:hAnsi="Arial"/>
          <w:b w:val="false"/>
          <w:bCs w:val="false"/>
          <w:sz w:val="22"/>
          <w:szCs w:val="22"/>
        </w:rPr>
        <w:t xml:space="preserve">The Silver zone contains two Parquet files produced by the transformation pipeline:</w:t>
      </w:r>
    </w:p>
    <w:p>
      <w:pPr>
        <w:pStyle w:val="ListParagraph"/>
        <w:numPr>
          <w:ilvl w:val="0"/>
          <w:numId w:val="2"/>
        </w:numPr>
        <w:spacing w:after="80"/>
      </w:pPr>
      <w:r>
        <w:rPr>
          <w:rFonts w:ascii="Arial" w:cs="Arial" w:eastAsia="Arial" w:hAnsi="Arial"/>
          <w:sz w:val="22"/>
          <w:szCs w:val="22"/>
        </w:rPr>
        <w:t xml:space="preserve">offres_clean.parquet — 5,000 rows, 33 columns. Contains normalised job titles (11 canonical profiles), standardised city names (13 cities + region), parsed salary ranges in MAD, parsed experience ranges in years, normalised contract types, and ISO-format dates.</w:t>
      </w:r>
    </w:p>
    <w:p>
      <w:pPr>
        <w:pStyle w:val="ListParagraph"/>
        <w:numPr>
          <w:ilvl w:val="0"/>
          <w:numId w:val="2"/>
        </w:numPr>
        <w:spacing w:after="80"/>
      </w:pPr>
      <w:r>
        <w:rPr>
          <w:rFonts w:ascii="Arial" w:cs="Arial" w:eastAsia="Arial" w:hAnsi="Arial"/>
          <w:sz w:val="22"/>
          <w:szCs w:val="22"/>
        </w:rPr>
        <w:t xml:space="preserve">competences.parquet — 47,560 rows. Long-format skill extraction output: one row per (offer x skill) pair, with skill family, alias found, and source field (competences_brut / description / both).</w:t>
      </w:r>
    </w:p>
    <w:p>
      <w:pPr>
        <w:spacing w:after="80"/>
      </w:pPr>
      <w:r>
        <w:rPr>
          <w:sz w:val="22"/>
          <w:szCs w:val="22"/>
        </w:rPr>
        <w:t xml:space="preserve"/>
      </w:r>
    </w:p>
    <w:p>
      <w:pPr>
        <w:pStyle w:val="Heading2"/>
      </w:pPr>
      <w:r>
        <w:rPr>
          <w:rFonts w:ascii="Arial" w:cs="Arial" w:eastAsia="Arial" w:hAnsi="Arial"/>
          <w:b/>
          <w:bCs/>
          <w:color w:val="2E86C1"/>
          <w:sz w:val="26"/>
          <w:szCs w:val="26"/>
        </w:rPr>
        <w:t xml:space="preserve">2.3 Gold Zone — Analytical Tables</w:t>
      </w:r>
    </w:p>
    <w:p>
      <w:pPr>
        <w:spacing w:after="160"/>
      </w:pPr>
      <w:r>
        <w:rPr>
          <w:rFonts w:ascii="Arial" w:cs="Arial" w:eastAsia="Arial" w:hAnsi="Arial"/>
          <w:b w:val="false"/>
          <w:bCs w:val="false"/>
          <w:sz w:val="22"/>
          <w:szCs w:val="22"/>
        </w:rPr>
        <w:t xml:space="preserve">Five Gold tables built via DuckDB SQL on Silver Parquet. Each table answers one business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1200"/>
        <w:gridCol w:w="300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Grain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Rows</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Question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top_competences.parquet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 × skill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skills are most in demand?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offres_par_ville.parquet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ville × profil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Where are the IT opportunities?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salaires_par_profil.parquet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 × ville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are the salary ranges?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entreprises_recruteurs.parquet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entreprise × ville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Who are Mexora's competitors?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tendances_mensuelles.parquet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year × month × profil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How is demand evolving?</w:t>
            </w:r>
          </w:p>
        </w:tc>
      </w:tr>
    </w:tbl>
    <w:p>
      <w:pPr>
        <w:spacing w:after="80"/>
      </w:pPr>
      <w:r>
        <w:rPr>
          <w:sz w:val="22"/>
          <w:szCs w:val="22"/>
        </w:rPr>
        <w:t xml:space="preserve"/>
      </w:r>
    </w:p>
    <w:p>
      <w:pPr>
        <w:spacing w:after="80"/>
      </w:pPr>
      <w:r>
        <w:rPr>
          <w:sz w:val="22"/>
          <w:szCs w:val="22"/>
        </w:rPr>
        <w:t xml:space="preserve"/>
      </w:r>
    </w:p>
    <w:p>
      <w:r>
        <w:br w:type="page"/>
      </w:r>
    </w:p>
    <w:p>
      <w:pPr>
        <w:pStyle w:val="Heading1"/>
      </w:pPr>
      <w:r>
        <w:rPr>
          <w:rFonts w:ascii="Arial" w:cs="Arial" w:eastAsia="Arial" w:hAnsi="Arial"/>
          <w:b/>
          <w:bCs/>
          <w:color w:val="1B4F72"/>
          <w:sz w:val="32"/>
          <w:szCs w:val="32"/>
        </w:rPr>
        <w:t xml:space="preserve">3. Design Justification — Four Key Questions</w:t>
      </w:r>
    </w:p>
    <w:p>
      <w:pPr>
        <w:pStyle w:val="Heading2"/>
      </w:pPr>
      <w:r>
        <w:rPr>
          <w:rFonts w:ascii="Arial" w:cs="Arial" w:eastAsia="Arial" w:hAnsi="Arial"/>
          <w:b/>
          <w:bCs/>
          <w:color w:val="2E86C1"/>
          <w:sz w:val="26"/>
          <w:szCs w:val="26"/>
        </w:rPr>
        <w:t xml:space="preserve">Question 1: Why store raw data in JSON and processed data in Parquet?</w:t>
      </w:r>
    </w:p>
    <w:p>
      <w:pPr>
        <w:spacing w:after="160"/>
      </w:pPr>
      <w:r>
        <w:rPr>
          <w:rFonts w:ascii="Arial" w:cs="Arial" w:eastAsia="Arial" w:hAnsi="Arial"/>
          <w:b w:val="false"/>
          <w:bCs w:val="false"/>
          <w:sz w:val="22"/>
          <w:szCs w:val="22"/>
        </w:rPr>
        <w:t xml:space="preserve">Bronze (JSON): The source files are delivered in JSON format. Storing them as-is in Bronze ensures zero transformation loss at ingestion. JSON is self-describing, human-readable for debugging, and universally supported. The trade-off is size (6.4 MB) and slow analytical query performance — but Bronze is never queried analytically.</w:t>
      </w:r>
    </w:p>
    <w:p>
      <w:pPr>
        <w:spacing w:after="160"/>
      </w:pPr>
      <w:r>
        <w:rPr>
          <w:rFonts w:ascii="Arial" w:cs="Arial" w:eastAsia="Arial" w:hAnsi="Arial"/>
          <w:b w:val="false"/>
          <w:bCs w:val="false"/>
          <w:sz w:val="22"/>
          <w:szCs w:val="22"/>
        </w:rPr>
        <w:t xml:space="preserve">Silver/Gold (Parquet with Snappy compression): Parquet is a columnar format optimised for analytical workloads. DuckDB reads Parquet natively, scanning only the columns needed for each query rather than the entire file. Snappy compression reduces the Silver file from an estimated 12 MB (uncompressed) to 787 KB — an 93% reduction — while remaining fast to decompress. This is why all 5 Gold queries run in under 2.2 seconds total on 47,560 rows.</w:t>
      </w:r>
    </w:p>
    <w:p>
      <w:pPr>
        <w:spacing w:after="80"/>
      </w:pPr>
      <w:r>
        <w:rPr>
          <w:sz w:val="22"/>
          <w:szCs w:val="22"/>
        </w:rPr>
        <w:t xml:space="preserve"/>
      </w:r>
    </w:p>
    <w:p>
      <w:pPr>
        <w:pStyle w:val="Heading2"/>
      </w:pPr>
      <w:r>
        <w:rPr>
          <w:rFonts w:ascii="Arial" w:cs="Arial" w:eastAsia="Arial" w:hAnsi="Arial"/>
          <w:b/>
          <w:bCs/>
          <w:color w:val="2E86C1"/>
          <w:sz w:val="26"/>
          <w:szCs w:val="26"/>
        </w:rPr>
        <w:t xml:space="preserve">Question 2: Why use a schema-on-read approach for Bronze?</w:t>
      </w:r>
    </w:p>
    <w:p>
      <w:pPr>
        <w:spacing w:after="160"/>
      </w:pPr>
      <w:r>
        <w:rPr>
          <w:rFonts w:ascii="Arial" w:cs="Arial" w:eastAsia="Arial" w:hAnsi="Arial"/>
          <w:b w:val="false"/>
          <w:bCs w:val="false"/>
          <w:sz w:val="22"/>
          <w:szCs w:val="22"/>
        </w:rPr>
        <w:t xml:space="preserve">Schema-on-read means the schema is applied when data is read, not when it is written. The Bronze zone applies no schema: any JSON structure is accepted. This is intentional and justified for three reasons:</w:t>
      </w:r>
    </w:p>
    <w:p>
      <w:pPr>
        <w:pStyle w:val="ListParagraph"/>
        <w:numPr>
          <w:ilvl w:val="0"/>
          <w:numId w:val="2"/>
        </w:numPr>
        <w:spacing w:after="80"/>
      </w:pPr>
      <w:r>
        <w:rPr>
          <w:rFonts w:ascii="Arial" w:cs="Arial" w:eastAsia="Arial" w:hAnsi="Arial"/>
          <w:sz w:val="22"/>
          <w:szCs w:val="22"/>
        </w:rPr>
        <w:t xml:space="preserve">Source flexibility: Rekrute, MarocAnnonce, and LinkedIn may evolve their export formats. A schema-on-write approach would require pipeline changes every time a source adds or renames a field.</w:t>
      </w:r>
    </w:p>
    <w:p>
      <w:pPr>
        <w:pStyle w:val="ListParagraph"/>
        <w:numPr>
          <w:ilvl w:val="0"/>
          <w:numId w:val="2"/>
        </w:numPr>
        <w:spacing w:after="80"/>
      </w:pPr>
      <w:r>
        <w:rPr>
          <w:rFonts w:ascii="Arial" w:cs="Arial" w:eastAsia="Arial" w:hAnsi="Arial"/>
          <w:sz w:val="22"/>
          <w:szCs w:val="22"/>
        </w:rPr>
        <w:t xml:space="preserve">Error preservation: Dirty data (inconsistent salary formats, malformed dates, missing fields) is stored exactly as received. The Silver layer then applies business rules to handle each anomaly type explicitly, and flags what it cannot parse.</w:t>
      </w:r>
    </w:p>
    <w:p>
      <w:pPr>
        <w:pStyle w:val="ListParagraph"/>
        <w:numPr>
          <w:ilvl w:val="0"/>
          <w:numId w:val="2"/>
        </w:numPr>
        <w:spacing w:after="80"/>
      </w:pPr>
      <w:r>
        <w:rPr>
          <w:rFonts w:ascii="Arial" w:cs="Arial" w:eastAsia="Arial" w:hAnsi="Arial"/>
          <w:sz w:val="22"/>
          <w:szCs w:val="22"/>
        </w:rPr>
        <w:t xml:space="preserve">Reprocessability: If the Silver cleaning logic is improved, Bronze data can be reprocessed without re-ingestion. This separation of concerns is the core value of the medallion architecture.</w:t>
      </w:r>
    </w:p>
    <w:p>
      <w:pPr>
        <w:spacing w:after="80"/>
      </w:pPr>
      <w:r>
        <w:rPr>
          <w:sz w:val="22"/>
          <w:szCs w:val="22"/>
        </w:rPr>
        <w:t xml:space="preserve"/>
      </w:r>
    </w:p>
    <w:p>
      <w:pPr>
        <w:pStyle w:val="Heading2"/>
      </w:pPr>
      <w:r>
        <w:rPr>
          <w:rFonts w:ascii="Arial" w:cs="Arial" w:eastAsia="Arial" w:hAnsi="Arial"/>
          <w:b/>
          <w:bCs/>
          <w:color w:val="2E86C1"/>
          <w:sz w:val="26"/>
          <w:szCs w:val="26"/>
        </w:rPr>
        <w:t xml:space="preserve">Question 3: What is the Bronze partitioning strategy and why?</w:t>
      </w:r>
    </w:p>
    <w:p>
      <w:pPr>
        <w:spacing w:after="160"/>
      </w:pPr>
      <w:r>
        <w:rPr>
          <w:rFonts w:ascii="Arial" w:cs="Arial" w:eastAsia="Arial" w:hAnsi="Arial"/>
          <w:b w:val="false"/>
          <w:bCs w:val="false"/>
          <w:sz w:val="22"/>
          <w:szCs w:val="22"/>
        </w:rPr>
        <w:t xml:space="preserve">Partitioning by source/month serves two purposes:</w:t>
      </w:r>
    </w:p>
    <w:p>
      <w:pPr>
        <w:pStyle w:val="ListParagraph"/>
        <w:numPr>
          <w:ilvl w:val="0"/>
          <w:numId w:val="2"/>
        </w:numPr>
        <w:spacing w:after="80"/>
      </w:pPr>
      <w:r>
        <w:rPr>
          <w:rFonts w:ascii="Arial" w:cs="Arial" w:eastAsia="Arial" w:hAnsi="Arial"/>
          <w:sz w:val="22"/>
          <w:szCs w:val="22"/>
        </w:rPr>
        <w:t xml:space="preserve">Operational traceability: if an anomaly is detected in a specific month's data from a specific source, the relevant partition can be inspected or reprocessed in isolation without touching other partitions.</w:t>
      </w:r>
    </w:p>
    <w:p>
      <w:pPr>
        <w:pStyle w:val="ListParagraph"/>
        <w:numPr>
          <w:ilvl w:val="0"/>
          <w:numId w:val="2"/>
        </w:numPr>
        <w:spacing w:after="80"/>
      </w:pPr>
      <w:r>
        <w:rPr>
          <w:rFonts w:ascii="Arial" w:cs="Arial" w:eastAsia="Arial" w:hAnsi="Arial"/>
          <w:sz w:val="22"/>
          <w:szCs w:val="22"/>
        </w:rPr>
        <w:t xml:space="preserve">Incremental ingestion readiness: a future version of the pipeline could ingest only new months rather than reprocessing all 5,000 offers on every run. The current 69-partition structure is already compatible with incremental patterns.</w:t>
      </w:r>
    </w:p>
    <w:p>
      <w:pPr>
        <w:spacing w:after="160"/>
      </w:pPr>
      <w:r>
        <w:rPr>
          <w:rFonts w:ascii="Arial" w:cs="Arial" w:eastAsia="Arial" w:hAnsi="Arial"/>
          <w:b w:val="false"/>
          <w:bCs w:val="false"/>
          <w:sz w:val="22"/>
          <w:szCs w:val="22"/>
        </w:rPr>
        <w:t xml:space="preserve">Partition depth was kept at two levels (source / month) rather than three (source / city / month) to avoid creating overly small partitions. The average partition size is 72 offers — sufficient for meaningful batch processing.</w:t>
      </w:r>
    </w:p>
    <w:p>
      <w:pPr>
        <w:spacing w:after="80"/>
      </w:pPr>
      <w:r>
        <w:rPr>
          <w:sz w:val="22"/>
          <w:szCs w:val="22"/>
        </w:rPr>
        <w:t xml:space="preserve"/>
      </w:r>
    </w:p>
    <w:p>
      <w:pPr>
        <w:pStyle w:val="Heading2"/>
      </w:pPr>
      <w:r>
        <w:rPr>
          <w:rFonts w:ascii="Arial" w:cs="Arial" w:eastAsia="Arial" w:hAnsi="Arial"/>
          <w:b/>
          <w:bCs/>
          <w:color w:val="2E86C1"/>
          <w:sz w:val="26"/>
          <w:szCs w:val="26"/>
        </w:rPr>
        <w:t xml:space="preserve">Question 4: How does the architecture prevent the Data Swamp anti-pattern?</w:t>
      </w:r>
    </w:p>
    <w:p>
      <w:pPr>
        <w:spacing w:after="160"/>
      </w:pPr>
      <w:r>
        <w:rPr>
          <w:rFonts w:ascii="Arial" w:cs="Arial" w:eastAsia="Arial" w:hAnsi="Arial"/>
          <w:b w:val="false"/>
          <w:bCs w:val="false"/>
          <w:sz w:val="22"/>
          <w:szCs w:val="22"/>
        </w:rPr>
        <w:t xml:space="preserve">A Data Swamp occurs when a Data Lake becomes unnavigable due to undocumented data, inconsistent naming, and no data quality enforcement. The Mexora pipeline prevents this through four mechanisms:</w:t>
      </w:r>
    </w:p>
    <w:p>
      <w:pPr>
        <w:pStyle w:val="ListParagraph"/>
        <w:numPr>
          <w:ilvl w:val="0"/>
          <w:numId w:val="2"/>
        </w:numPr>
        <w:spacing w:after="80"/>
      </w:pPr>
      <w:r>
        <w:rPr>
          <w:rFonts w:ascii="Arial" w:cs="Arial" w:eastAsia="Arial" w:hAnsi="Arial"/>
          <w:sz w:val="22"/>
          <w:szCs w:val="22"/>
        </w:rPr>
        <w:t xml:space="preserve">Consistent naming conventions: all partition folders follow the pattern {source}/{YYYY_MM}. All Parquet files follow the pattern {descriptive_name}.parquet. No ambiguous or temporary file names.</w:t>
      </w:r>
    </w:p>
    <w:p>
      <w:pPr>
        <w:pStyle w:val="ListParagraph"/>
        <w:numPr>
          <w:ilvl w:val="0"/>
          <w:numId w:val="2"/>
        </w:numPr>
        <w:spacing w:after="80"/>
      </w:pPr>
      <w:r>
        <w:rPr>
          <w:rFonts w:ascii="Arial" w:cs="Arial" w:eastAsia="Arial" w:hAnsi="Arial"/>
          <w:sz w:val="22"/>
          <w:szCs w:val="22"/>
        </w:rPr>
        <w:t xml:space="preserve">Metadata at ingestion: every Bronze partition file contains a metadata block with ingestion timestamp, source path, schema version, and offer count. This is the catalogue entry for that partition.</w:t>
      </w:r>
    </w:p>
    <w:p>
      <w:pPr>
        <w:pStyle w:val="ListParagraph"/>
        <w:numPr>
          <w:ilvl w:val="0"/>
          <w:numId w:val="2"/>
        </w:numPr>
        <w:spacing w:after="80"/>
      </w:pPr>
      <w:r>
        <w:rPr>
          <w:rFonts w:ascii="Arial" w:cs="Arial" w:eastAsia="Arial" w:hAnsi="Arial"/>
          <w:sz w:val="22"/>
          <w:szCs w:val="22"/>
        </w:rPr>
        <w:t xml:space="preserve">Data quality flags: the Silver layer does not silently drop anomalous records. Every record that fails a quality check carries an anomalies column listing which checks failed. The qualite_rapport.parquet file provides a full quality audit of the dataset.</w:t>
      </w:r>
    </w:p>
    <w:p>
      <w:pPr>
        <w:pStyle w:val="ListParagraph"/>
        <w:numPr>
          <w:ilvl w:val="0"/>
          <w:numId w:val="2"/>
        </w:numPr>
        <w:spacing w:after="80"/>
      </w:pPr>
      <w:r>
        <w:rPr>
          <w:rFonts w:ascii="Arial" w:cs="Arial" w:eastAsia="Arial" w:hAnsi="Arial"/>
          <w:sz w:val="22"/>
          <w:szCs w:val="22"/>
        </w:rPr>
        <w:t xml:space="preserve">Zone separation: the three zones have clearly defined and enforced purposes. Bronze is never modified. Silver is never used for business reporting. Gold is never used for reprocessing. The utils.py path constants enforce that each pipeline file writes to the correct zone.</w:t>
      </w:r>
    </w:p>
    <w:p>
      <w:pPr>
        <w:spacing w:after="80"/>
      </w:pPr>
      <w:r>
        <w:rPr>
          <w:sz w:val="22"/>
          <w:szCs w:val="22"/>
        </w:rPr>
        <w:t xml:space="preserve"/>
      </w:r>
    </w:p>
    <w:p>
      <w:pPr>
        <w:spacing w:after="80"/>
      </w:pPr>
      <w:r>
        <w:rPr>
          <w:sz w:val="22"/>
          <w:szCs w:val="22"/>
        </w:rPr>
        <w:t xml:space="preserve"/>
      </w:r>
    </w:p>
    <w:p>
      <w:r>
        <w:br w:type="page"/>
      </w:r>
    </w:p>
    <w:p>
      <w:pPr>
        <w:pStyle w:val="Heading1"/>
      </w:pPr>
      <w:r>
        <w:rPr>
          <w:rFonts w:ascii="Arial" w:cs="Arial" w:eastAsia="Arial" w:hAnsi="Arial"/>
          <w:b/>
          <w:bCs/>
          <w:color w:val="1B4F72"/>
          <w:sz w:val="32"/>
          <w:szCs w:val="32"/>
        </w:rPr>
        <w:t xml:space="preserve">4. 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language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pipeline and analysis code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frames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pandas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Silver transformation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Columnar 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pyarrow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Parquet read/write for Silver and Gold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SQL engine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DuckDB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Gold aggregations and Step 3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NLP extraction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 (stdlib)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Word-boundary regex skill extraction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Visualisation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matplotlib / seaborn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analytical charts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Notebook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Jupyter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Interactive analysis presentation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Version control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 + GitHub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commit history, reproducibility</w:t>
            </w:r>
          </w:p>
        </w:tc>
      </w:tr>
    </w:tbl>
    <w:p>
      <w:pPr>
        <w:spacing w:after="80"/>
      </w:pPr>
      <w:r>
        <w:rPr>
          <w:sz w:val="22"/>
          <w:szCs w:val="22"/>
        </w:rPr>
        <w:t xml:space="preserve"/>
      </w:r>
    </w:p>
    <w:p>
      <w:pPr>
        <w:spacing w:after="80"/>
      </w:pPr>
      <w:r>
        <w:rPr>
          <w:sz w:val="22"/>
          <w:szCs w:val="22"/>
        </w:rPr>
        <w:t xml:space="preserve"/>
      </w:r>
    </w:p>
    <w:p>
      <w:pPr>
        <w:pStyle w:val="Heading1"/>
      </w:pPr>
      <w:r>
        <w:rPr>
          <w:rFonts w:ascii="Arial" w:cs="Arial" w:eastAsia="Arial" w:hAnsi="Arial"/>
          <w:b/>
          <w:bCs/>
          <w:color w:val="1B4F72"/>
          <w:sz w:val="32"/>
          <w:szCs w:val="32"/>
        </w:rPr>
        <w:t xml:space="preserve">5. Pipeline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Bronze Ingestion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bronze_ingestion.py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69 partitions, 5,000 offers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Silver Transform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silver_transform.py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787 KB Parquet, 33 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NLP Extraction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silver_nlp.py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74.1s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47,560 skill matches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Gold Aggregation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gold_aggregation.py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tables, 39 KB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81.9s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pipeline Bronze → Gold</w:t>
            </w:r>
          </w:p>
        </w:tc>
      </w:tr>
    </w:tbl>
    <w:p>
      <w:pPr>
        <w:spacing w:after="80"/>
      </w:pPr>
      <w:r>
        <w:rPr>
          <w:sz w:val="22"/>
          <w:szCs w:val="22"/>
        </w:rPr>
        <w:t xml:space="preserve"/>
      </w:r>
    </w:p>
    <w:p>
      <w:pPr>
        <w:spacing w:after="80"/>
      </w:pPr>
      <w:r>
        <w:rPr>
          <w:sz w:val="22"/>
          <w:szCs w:val="22"/>
        </w:rPr>
        <w:t xml:space="preserve"/>
      </w:r>
    </w:p>
    <w:p>
      <w:pPr>
        <w:spacing w:after="160"/>
      </w:pPr>
      <w:r>
        <w:rPr>
          <w:rFonts w:ascii="Arial" w:cs="Arial" w:eastAsia="Arial" w:hAnsi="Arial"/>
          <w:b w:val="false"/>
          <w:bCs w:val="false"/>
          <w:sz w:val="22"/>
          <w:szCs w:val="22"/>
        </w:rPr>
        <w:t xml:space="preserve">The NLP step (74.1s / 90.5% of total time) is the dominant cost. This is expected: 5,000 offers × 281 regex patterns = 1,405,000 pattern evaluations. Future optimisation could apply vectorised string operations or pre-filter offers by source field length, but performance is acceptable for a batch pipeline running once per data refresh.</w:t>
      </w:r>
    </w:p>
    <w:p>
      <w:pPr>
        <w:spacing w:after="80"/>
      </w:pPr>
      <w:r>
        <w:rPr>
          <w:sz w:val="22"/>
          <w:szCs w:val="22"/>
        </w:rPr>
        <w:t xml:space="preserve"/>
      </w:r>
    </w:p>
    <w:p>
      <w:pPr>
        <w:spacing w:after="80"/>
      </w:pPr>
      <w:r>
        <w:rPr>
          <w:sz w:val="22"/>
          <w:szCs w:val="22"/>
        </w:rPr>
        <w:t xml:space="preserve"/>
      </w:r>
    </w:p>
    <w:p>
      <w:pPr>
        <w:spacing w:before="480"/>
        <w:jc w:val="center"/>
      </w:pPr>
      <w:r>
        <w:rPr>
          <w:rFonts w:ascii="Arial" w:cs="Arial" w:eastAsia="Arial" w:hAnsi="Arial"/>
          <w:color w:val="888888"/>
          <w:sz w:val="20"/>
          <w:szCs w:val="20"/>
        </w:rPr>
        <w:t xml:space="preserve">— End of Architecture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2026-04-30T09:35:25.205Z</dcterms:created>
  <dcterms:modified xsi:type="dcterms:W3CDTF">2026-04-30T09:35:25.206Z</dcterms:modified>
</cp:coreProperties>
</file>

<file path=docProps/custom.xml><?xml version="1.0" encoding="utf-8"?>
<Properties xmlns="http://schemas.openxmlformats.org/officeDocument/2006/custom-properties" xmlns:vt="http://schemas.openxmlformats.org/officeDocument/2006/docPropsVTypes"/>
</file>