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9E496" w14:textId="6BF684C2" w:rsidR="00F32531" w:rsidRPr="00F32531" w:rsidRDefault="00F32531" w:rsidP="00F32531">
      <w:pPr>
        <w:spacing w:line="360" w:lineRule="auto"/>
        <w:jc w:val="both"/>
        <w:rPr>
          <w:rFonts w:ascii="Times New Roman" w:hAnsi="Times New Roman" w:cs="Times New Roman"/>
          <w:b/>
          <w:bCs/>
          <w:sz w:val="28"/>
          <w:szCs w:val="28"/>
        </w:rPr>
      </w:pPr>
      <w:r w:rsidRPr="00F32531">
        <w:rPr>
          <w:rFonts w:ascii="Times New Roman" w:hAnsi="Times New Roman" w:cs="Times New Roman"/>
          <w:b/>
          <w:bCs/>
          <w:sz w:val="28"/>
          <w:szCs w:val="28"/>
        </w:rPr>
        <w:t>Is there any sense of “internal” which renders correct the claim that justification is internal?</w:t>
      </w:r>
    </w:p>
    <w:p w14:paraId="6FC33717" w14:textId="6DECB389" w:rsidR="00F32531" w:rsidRDefault="00F60CA9" w:rsidP="00F325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2018B10F" w14:textId="36943CCA" w:rsidR="00F60CA9" w:rsidRDefault="00A72CEB" w:rsidP="00F32531">
      <w:pPr>
        <w:spacing w:line="360" w:lineRule="auto"/>
        <w:jc w:val="both"/>
        <w:rPr>
          <w:rFonts w:ascii="Times New Roman" w:hAnsi="Times New Roman" w:cs="Times New Roman"/>
        </w:rPr>
      </w:pPr>
      <w:r>
        <w:rPr>
          <w:rFonts w:ascii="Times New Roman" w:hAnsi="Times New Roman" w:cs="Times New Roman"/>
        </w:rPr>
        <w:tab/>
      </w:r>
      <w:r w:rsidR="00F72C66">
        <w:rPr>
          <w:rFonts w:ascii="Times New Roman" w:hAnsi="Times New Roman" w:cs="Times New Roman"/>
        </w:rPr>
        <w:t>Internalism</w:t>
      </w:r>
      <w:r w:rsidR="00E1222B">
        <w:rPr>
          <w:rFonts w:ascii="Times New Roman" w:hAnsi="Times New Roman" w:cs="Times New Roman"/>
        </w:rPr>
        <w:t xml:space="preserve"> about justification</w:t>
      </w:r>
      <w:r w:rsidR="002810AF">
        <w:rPr>
          <w:rFonts w:ascii="Times New Roman" w:hAnsi="Times New Roman" w:cs="Times New Roman"/>
        </w:rPr>
        <w:t xml:space="preserve"> (henceforth simply internalism)</w:t>
      </w:r>
      <w:r>
        <w:rPr>
          <w:rFonts w:ascii="Times New Roman" w:hAnsi="Times New Roman" w:cs="Times New Roman"/>
        </w:rPr>
        <w:t xml:space="preserve"> is the claim that two epistemic agents, if internally alike, would be justified to the same degree for the same propositions. </w:t>
      </w:r>
      <w:r w:rsidR="00F72C66">
        <w:rPr>
          <w:rFonts w:ascii="Times New Roman" w:hAnsi="Times New Roman" w:cs="Times New Roman"/>
        </w:rPr>
        <w:t>Generally, i</w:t>
      </w:r>
      <w:r>
        <w:rPr>
          <w:rFonts w:ascii="Times New Roman" w:hAnsi="Times New Roman" w:cs="Times New Roman"/>
        </w:rPr>
        <w:t xml:space="preserve">nternalism is motivated from the link between rationality and justification: to be justified is to say that one has conformed to certain epistemic duties (for which they are in a position to know). There are two competing camps for </w:t>
      </w:r>
      <w:r w:rsidR="00F72C66">
        <w:rPr>
          <w:rFonts w:ascii="Times New Roman" w:hAnsi="Times New Roman" w:cs="Times New Roman"/>
        </w:rPr>
        <w:t>the</w:t>
      </w:r>
      <w:r>
        <w:rPr>
          <w:rFonts w:ascii="Times New Roman" w:hAnsi="Times New Roman" w:cs="Times New Roman"/>
        </w:rPr>
        <w:t xml:space="preserve"> sense </w:t>
      </w:r>
      <w:r w:rsidR="00F72C66">
        <w:rPr>
          <w:rFonts w:ascii="Times New Roman" w:hAnsi="Times New Roman" w:cs="Times New Roman"/>
        </w:rPr>
        <w:t xml:space="preserve">in which </w:t>
      </w:r>
      <w:r>
        <w:rPr>
          <w:rFonts w:ascii="Times New Roman" w:hAnsi="Times New Roman" w:cs="Times New Roman"/>
        </w:rPr>
        <w:t xml:space="preserve">we should understand agents to be ‘internally alike’. The first camp, mentalism, says that two agents, if alike in their mental states, would be justified to the same degree for the same claims. This makes no imposition on whether these agents can access these mental states. In contrast, access internalism says that two agents, if alike in terms of the reasons/beliefs they have access to, are justified to the same degree. In light of various externalist challenges, internalists have whittled down or abandoned rationality-justification link. </w:t>
      </w:r>
    </w:p>
    <w:p w14:paraId="57F30169" w14:textId="7A3B7BAA" w:rsidR="00A72CEB" w:rsidRDefault="00A72CEB" w:rsidP="00F32531">
      <w:pPr>
        <w:spacing w:line="360" w:lineRule="auto"/>
        <w:jc w:val="both"/>
        <w:rPr>
          <w:rFonts w:ascii="Times New Roman" w:hAnsi="Times New Roman" w:cs="Times New Roman"/>
        </w:rPr>
      </w:pPr>
      <w:r>
        <w:rPr>
          <w:rFonts w:ascii="Times New Roman" w:hAnsi="Times New Roman" w:cs="Times New Roman"/>
        </w:rPr>
        <w:tab/>
        <w:t xml:space="preserve">I suspect that why internalism seems so difficult to defend is because internalists ask the wrong question. Instead of asking what account of ‘internally alike’ renders correct the claim that justification, </w:t>
      </w:r>
      <w:r w:rsidRPr="00A72CEB">
        <w:rPr>
          <w:rFonts w:ascii="Times New Roman" w:hAnsi="Times New Roman" w:cs="Times New Roman"/>
          <w:i/>
          <w:iCs/>
        </w:rPr>
        <w:t>tout court</w:t>
      </w:r>
      <w:r>
        <w:rPr>
          <w:rFonts w:ascii="Times New Roman" w:hAnsi="Times New Roman" w:cs="Times New Roman"/>
        </w:rPr>
        <w:t>, is internal, internalists should</w:t>
      </w:r>
      <w:r w:rsidR="00726507">
        <w:rPr>
          <w:rFonts w:ascii="Times New Roman" w:hAnsi="Times New Roman" w:cs="Times New Roman"/>
        </w:rPr>
        <w:t xml:space="preserve"> </w:t>
      </w:r>
      <w:r w:rsidR="00726507" w:rsidRPr="003F28E1">
        <w:rPr>
          <w:rFonts w:ascii="Times New Roman" w:hAnsi="Times New Roman" w:cs="Times New Roman"/>
        </w:rPr>
        <w:t>first</w:t>
      </w:r>
      <w:r>
        <w:rPr>
          <w:rFonts w:ascii="Times New Roman" w:hAnsi="Times New Roman" w:cs="Times New Roman"/>
        </w:rPr>
        <w:t xml:space="preserve"> ask over what </w:t>
      </w:r>
      <w:r w:rsidRPr="003F28E1">
        <w:rPr>
          <w:rFonts w:ascii="Times New Roman" w:hAnsi="Times New Roman" w:cs="Times New Roman"/>
          <w:i/>
          <w:iCs/>
        </w:rPr>
        <w:t>kinds</w:t>
      </w:r>
      <w:r>
        <w:rPr>
          <w:rFonts w:ascii="Times New Roman" w:hAnsi="Times New Roman" w:cs="Times New Roman"/>
        </w:rPr>
        <w:t xml:space="preserve"> of </w:t>
      </w:r>
      <w:r w:rsidR="00AB3B31">
        <w:rPr>
          <w:rFonts w:ascii="Times New Roman" w:hAnsi="Times New Roman" w:cs="Times New Roman"/>
        </w:rPr>
        <w:t>beliefs</w:t>
      </w:r>
      <w:r>
        <w:rPr>
          <w:rFonts w:ascii="Times New Roman" w:hAnsi="Times New Roman" w:cs="Times New Roman"/>
        </w:rPr>
        <w:t xml:space="preserve"> should the standard of internalist justification apply. My position</w:t>
      </w:r>
      <w:r w:rsidR="00CD57AC">
        <w:rPr>
          <w:rFonts w:ascii="Times New Roman" w:hAnsi="Times New Roman" w:cs="Times New Roman"/>
        </w:rPr>
        <w:t xml:space="preserve"> is</w:t>
      </w:r>
      <w:r>
        <w:rPr>
          <w:rFonts w:ascii="Times New Roman" w:hAnsi="Times New Roman" w:cs="Times New Roman"/>
        </w:rPr>
        <w:t>, therefore, to defend one similar to Sosa</w:t>
      </w:r>
      <w:r w:rsidR="00503EFA">
        <w:rPr>
          <w:rFonts w:ascii="Times New Roman" w:hAnsi="Times New Roman" w:cs="Times New Roman"/>
        </w:rPr>
        <w:t>:</w:t>
      </w:r>
      <w:r>
        <w:rPr>
          <w:rFonts w:ascii="Times New Roman" w:hAnsi="Times New Roman" w:cs="Times New Roman"/>
        </w:rPr>
        <w:t xml:space="preserve"> externalist and internalist standards of justification apply to different kinds of beliefs i.e. animalist/basic beliefs and complex/sophisticated beliefs respectively. </w:t>
      </w:r>
      <w:r w:rsidR="00FD4AFA">
        <w:rPr>
          <w:rFonts w:ascii="Times New Roman" w:hAnsi="Times New Roman" w:cs="Times New Roman"/>
        </w:rPr>
        <w:t>If</w:t>
      </w:r>
      <w:r>
        <w:rPr>
          <w:rFonts w:ascii="Times New Roman" w:hAnsi="Times New Roman" w:cs="Times New Roman"/>
        </w:rPr>
        <w:t xml:space="preserve"> internalists whittle down or abandon the rationality-justification link, then there is little motivating internalism in the first place, and little reason to resist the move to externalism.</w:t>
      </w:r>
      <w:r w:rsidR="00FD4AFA">
        <w:rPr>
          <w:rFonts w:ascii="Times New Roman" w:hAnsi="Times New Roman" w:cs="Times New Roman"/>
        </w:rPr>
        <w:t xml:space="preserve"> In the same vein, Williamson is disingenuous in saying that externalism can satisfy the access requirement because he exploits an indefensibly weak form of the access requirement.</w:t>
      </w:r>
      <w:r>
        <w:rPr>
          <w:rFonts w:ascii="Times New Roman" w:hAnsi="Times New Roman" w:cs="Times New Roman"/>
        </w:rPr>
        <w:t xml:space="preserve"> </w:t>
      </w:r>
      <w:r w:rsidR="00FD4AFA">
        <w:rPr>
          <w:rFonts w:ascii="Times New Roman" w:hAnsi="Times New Roman" w:cs="Times New Roman"/>
        </w:rPr>
        <w:t xml:space="preserve">In turn, I advocate for a strong access requirement of being able to state one’s reasons i.e. being internally alike is understood to be having the same reasons one </w:t>
      </w:r>
      <w:r w:rsidR="00D61606">
        <w:rPr>
          <w:rFonts w:ascii="Times New Roman" w:hAnsi="Times New Roman" w:cs="Times New Roman"/>
        </w:rPr>
        <w:t>is actually accessing</w:t>
      </w:r>
      <w:r w:rsidR="00FD4AFA">
        <w:rPr>
          <w:rFonts w:ascii="Times New Roman" w:hAnsi="Times New Roman" w:cs="Times New Roman"/>
        </w:rPr>
        <w:t xml:space="preserve">. </w:t>
      </w:r>
      <w:r>
        <w:rPr>
          <w:rFonts w:ascii="Times New Roman" w:hAnsi="Times New Roman" w:cs="Times New Roman"/>
        </w:rPr>
        <w:t xml:space="preserve">But internalists also have to note that our intuitions about </w:t>
      </w:r>
      <w:r w:rsidR="00FD4AFA">
        <w:rPr>
          <w:rFonts w:ascii="Times New Roman" w:hAnsi="Times New Roman" w:cs="Times New Roman"/>
        </w:rPr>
        <w:t>the importance of conforming to our epistemic duties differ over the kinds of beliefs that we hold. If I am right about the fact that our standards of justification are content-</w:t>
      </w:r>
      <w:r w:rsidR="00E366CF">
        <w:rPr>
          <w:rFonts w:ascii="Times New Roman" w:hAnsi="Times New Roman" w:cs="Times New Roman"/>
        </w:rPr>
        <w:t>dependent</w:t>
      </w:r>
      <w:r w:rsidR="00FD4AFA">
        <w:rPr>
          <w:rFonts w:ascii="Times New Roman" w:hAnsi="Times New Roman" w:cs="Times New Roman"/>
        </w:rPr>
        <w:t xml:space="preserve">, then it opens the doors for a plurality of externalism and access internalism. </w:t>
      </w:r>
    </w:p>
    <w:p w14:paraId="2383B612" w14:textId="77777777" w:rsidR="00FD4AFA" w:rsidRDefault="00FD4AFA" w:rsidP="00F32531">
      <w:pPr>
        <w:spacing w:line="360" w:lineRule="auto"/>
        <w:jc w:val="both"/>
        <w:rPr>
          <w:rFonts w:ascii="Times New Roman" w:hAnsi="Times New Roman" w:cs="Times New Roman"/>
        </w:rPr>
      </w:pPr>
    </w:p>
    <w:p w14:paraId="58449BEB" w14:textId="7EF4EBFB" w:rsidR="00C52521" w:rsidRDefault="00C52521" w:rsidP="00F32531">
      <w:pPr>
        <w:spacing w:line="360" w:lineRule="auto"/>
        <w:jc w:val="both"/>
        <w:rPr>
          <w:rFonts w:ascii="Times New Roman" w:hAnsi="Times New Roman" w:cs="Times New Roman"/>
          <w:sz w:val="28"/>
          <w:szCs w:val="28"/>
        </w:rPr>
      </w:pPr>
      <w:r>
        <w:rPr>
          <w:rFonts w:ascii="Times New Roman" w:hAnsi="Times New Roman" w:cs="Times New Roman"/>
          <w:b/>
          <w:bCs/>
          <w:sz w:val="28"/>
          <w:szCs w:val="28"/>
        </w:rPr>
        <w:t>The prima facie case for internalism</w:t>
      </w:r>
    </w:p>
    <w:p w14:paraId="5A9D7E20" w14:textId="1A336418" w:rsidR="00C52521" w:rsidRDefault="00E9270A" w:rsidP="00E9270A">
      <w:pPr>
        <w:spacing w:line="360" w:lineRule="auto"/>
        <w:jc w:val="both"/>
        <w:rPr>
          <w:rFonts w:ascii="Times New Roman" w:hAnsi="Times New Roman" w:cs="Times New Roman"/>
        </w:rPr>
      </w:pPr>
      <w:r>
        <w:rPr>
          <w:rFonts w:ascii="Times New Roman" w:hAnsi="Times New Roman" w:cs="Times New Roman"/>
        </w:rPr>
        <w:lastRenderedPageBreak/>
        <w:tab/>
        <w:t xml:space="preserve">We can see the main motivation for internalism via </w:t>
      </w:r>
      <w:proofErr w:type="spellStart"/>
      <w:r>
        <w:rPr>
          <w:rFonts w:ascii="Times New Roman" w:hAnsi="Times New Roman" w:cs="Times New Roman"/>
        </w:rPr>
        <w:t>BonJour’s</w:t>
      </w:r>
      <w:proofErr w:type="spellEnd"/>
      <w:r>
        <w:rPr>
          <w:rFonts w:ascii="Times New Roman" w:hAnsi="Times New Roman" w:cs="Times New Roman"/>
        </w:rPr>
        <w:t xml:space="preserve"> Norman case</w:t>
      </w:r>
      <w:r w:rsidR="00F17072">
        <w:rPr>
          <w:rStyle w:val="FootnoteReference"/>
          <w:rFonts w:ascii="Times New Roman" w:hAnsi="Times New Roman" w:cs="Times New Roman"/>
        </w:rPr>
        <w:footnoteReference w:id="1"/>
      </w:r>
      <w:r>
        <w:rPr>
          <w:rFonts w:ascii="Times New Roman" w:hAnsi="Times New Roman" w:cs="Times New Roman"/>
        </w:rPr>
        <w:t>:</w:t>
      </w:r>
    </w:p>
    <w:p w14:paraId="149AD182" w14:textId="5A42590B" w:rsidR="00E9270A" w:rsidRDefault="00E9270A" w:rsidP="00E9270A">
      <w:pPr>
        <w:spacing w:line="360" w:lineRule="auto"/>
        <w:ind w:left="993" w:right="1088" w:hanging="993"/>
        <w:jc w:val="both"/>
        <w:rPr>
          <w:rFonts w:ascii="Times New Roman" w:hAnsi="Times New Roman" w:cs="Times New Roman"/>
        </w:rPr>
      </w:pPr>
      <w:r>
        <w:rPr>
          <w:rFonts w:ascii="Times New Roman" w:hAnsi="Times New Roman" w:cs="Times New Roman"/>
        </w:rPr>
        <w:tab/>
        <w:t>Clairvoyant Norman: Norman has no good or bad reasons against thinking that he is clairvoyant but his clairvoyance is 100% accurate. One day, he believes that Trump is in New York, purely via his clairvoyant power. But Norman cannot be said to be justified in his belief</w:t>
      </w:r>
    </w:p>
    <w:p w14:paraId="6C625376" w14:textId="6F1384AB" w:rsidR="00E9270A" w:rsidRDefault="00E9270A" w:rsidP="00E9270A">
      <w:pPr>
        <w:tabs>
          <w:tab w:val="left" w:pos="709"/>
        </w:tabs>
        <w:spacing w:line="360" w:lineRule="auto"/>
        <w:ind w:right="-46"/>
        <w:jc w:val="both"/>
        <w:rPr>
          <w:rFonts w:ascii="Times New Roman" w:hAnsi="Times New Roman" w:cs="Times New Roman"/>
        </w:rPr>
      </w:pPr>
      <w:proofErr w:type="spellStart"/>
      <w:r>
        <w:rPr>
          <w:rFonts w:ascii="Times New Roman" w:hAnsi="Times New Roman" w:cs="Times New Roman"/>
        </w:rPr>
        <w:t>BonJour’s</w:t>
      </w:r>
      <w:proofErr w:type="spellEnd"/>
      <w:r>
        <w:rPr>
          <w:rFonts w:ascii="Times New Roman" w:hAnsi="Times New Roman" w:cs="Times New Roman"/>
        </w:rPr>
        <w:t xml:space="preserve"> core question is this: why should something entirely outside the subject’s ken play a role in one’s justification? Being justified, according to </w:t>
      </w:r>
      <w:proofErr w:type="spellStart"/>
      <w:r>
        <w:rPr>
          <w:rFonts w:ascii="Times New Roman" w:hAnsi="Times New Roman" w:cs="Times New Roman"/>
        </w:rPr>
        <w:t>BonJour</w:t>
      </w:r>
      <w:proofErr w:type="spellEnd"/>
      <w:r>
        <w:rPr>
          <w:rFonts w:ascii="Times New Roman" w:hAnsi="Times New Roman" w:cs="Times New Roman"/>
        </w:rPr>
        <w:t xml:space="preserve">, is to be assessed from the cognitive agent’s point of view, rather than an objective assessment of whether some external relations obtain. To use his analogy, if someone threatened Norman at gunpoint to commit to his belief, Norman would not commit to his clairvoyant belief but some other belief for which he </w:t>
      </w:r>
      <w:r w:rsidR="00F17072">
        <w:rPr>
          <w:rFonts w:ascii="Times New Roman" w:hAnsi="Times New Roman" w:cs="Times New Roman"/>
        </w:rPr>
        <w:t>can articulate his</w:t>
      </w:r>
      <w:r>
        <w:rPr>
          <w:rFonts w:ascii="Times New Roman" w:hAnsi="Times New Roman" w:cs="Times New Roman"/>
        </w:rPr>
        <w:t xml:space="preserve"> good reasons for</w:t>
      </w:r>
      <w:r w:rsidR="00F17072">
        <w:rPr>
          <w:rStyle w:val="FootnoteReference"/>
          <w:rFonts w:ascii="Times New Roman" w:hAnsi="Times New Roman" w:cs="Times New Roman"/>
        </w:rPr>
        <w:footnoteReference w:id="2"/>
      </w:r>
      <w:r>
        <w:rPr>
          <w:rFonts w:ascii="Times New Roman" w:hAnsi="Times New Roman" w:cs="Times New Roman"/>
        </w:rPr>
        <w:t xml:space="preserve">. Following Goldman, </w:t>
      </w:r>
      <w:proofErr w:type="spellStart"/>
      <w:r>
        <w:rPr>
          <w:rFonts w:ascii="Times New Roman" w:hAnsi="Times New Roman" w:cs="Times New Roman"/>
        </w:rPr>
        <w:t>BonJour</w:t>
      </w:r>
      <w:proofErr w:type="spellEnd"/>
      <w:r>
        <w:rPr>
          <w:rFonts w:ascii="Times New Roman" w:hAnsi="Times New Roman" w:cs="Times New Roman"/>
        </w:rPr>
        <w:t xml:space="preserve"> is committed to the following principle: </w:t>
      </w:r>
    </w:p>
    <w:p w14:paraId="082B30CA" w14:textId="0A443D10" w:rsidR="00E9270A" w:rsidRDefault="00E9270A" w:rsidP="00E9270A">
      <w:pPr>
        <w:tabs>
          <w:tab w:val="left" w:pos="709"/>
        </w:tabs>
        <w:spacing w:line="360" w:lineRule="auto"/>
        <w:ind w:left="993" w:right="946"/>
        <w:jc w:val="both"/>
        <w:rPr>
          <w:rFonts w:ascii="Times New Roman" w:hAnsi="Times New Roman" w:cs="Times New Roman"/>
        </w:rPr>
      </w:pPr>
      <w:r>
        <w:rPr>
          <w:rFonts w:ascii="Times New Roman" w:hAnsi="Times New Roman" w:cs="Times New Roman"/>
        </w:rPr>
        <w:t>Deontological Conception of Justification</w:t>
      </w:r>
      <w:r w:rsidR="005C0E1E">
        <w:rPr>
          <w:rFonts w:ascii="Times New Roman" w:hAnsi="Times New Roman" w:cs="Times New Roman"/>
        </w:rPr>
        <w:t xml:space="preserve"> (DJ)</w:t>
      </w:r>
      <w:r>
        <w:rPr>
          <w:rFonts w:ascii="Times New Roman" w:hAnsi="Times New Roman" w:cs="Times New Roman"/>
        </w:rPr>
        <w:t>: Justification is to fulfil certain epistemic duties in which we are in a position to know</w:t>
      </w:r>
      <w:r w:rsidR="006A2564">
        <w:rPr>
          <w:rStyle w:val="FootnoteReference"/>
          <w:rFonts w:ascii="Times New Roman" w:hAnsi="Times New Roman" w:cs="Times New Roman"/>
        </w:rPr>
        <w:footnoteReference w:id="3"/>
      </w:r>
    </w:p>
    <w:p w14:paraId="33323728" w14:textId="1F11625E" w:rsidR="00E12965" w:rsidRDefault="00E9270A" w:rsidP="00E9270A">
      <w:pPr>
        <w:tabs>
          <w:tab w:val="left" w:pos="709"/>
        </w:tabs>
        <w:spacing w:line="360" w:lineRule="auto"/>
        <w:ind w:right="-46"/>
        <w:jc w:val="both"/>
        <w:rPr>
          <w:rFonts w:ascii="Times New Roman" w:hAnsi="Times New Roman" w:cs="Times New Roman"/>
        </w:rPr>
      </w:pPr>
      <w:r>
        <w:rPr>
          <w:rFonts w:ascii="Times New Roman" w:hAnsi="Times New Roman" w:cs="Times New Roman"/>
        </w:rPr>
        <w:t xml:space="preserve">In essence, </w:t>
      </w:r>
      <w:r w:rsidR="005C0E1E">
        <w:rPr>
          <w:rFonts w:ascii="Times New Roman" w:hAnsi="Times New Roman" w:cs="Times New Roman"/>
        </w:rPr>
        <w:t xml:space="preserve">DJ </w:t>
      </w:r>
      <w:r>
        <w:rPr>
          <w:rFonts w:ascii="Times New Roman" w:hAnsi="Times New Roman" w:cs="Times New Roman"/>
        </w:rPr>
        <w:t xml:space="preserve">can be said to </w:t>
      </w:r>
      <w:r w:rsidR="005C0E1E">
        <w:rPr>
          <w:rFonts w:ascii="Times New Roman" w:hAnsi="Times New Roman" w:cs="Times New Roman"/>
        </w:rPr>
        <w:t xml:space="preserve">mean that we ought to be rational in believing p to be justified. Let us take rational to mean that an agent’s attitudes towards some belief p conforms with the strength of reasons he actually accesses. In turn, equally rational agents might be internally alike in terms of the </w:t>
      </w:r>
      <w:r w:rsidR="005C0E1E" w:rsidRPr="00F311D4">
        <w:rPr>
          <w:rFonts w:ascii="Times New Roman" w:hAnsi="Times New Roman" w:cs="Times New Roman"/>
          <w:b/>
          <w:bCs/>
        </w:rPr>
        <w:t>reasons they actually access</w:t>
      </w:r>
      <w:r w:rsidR="005C0E1E">
        <w:rPr>
          <w:rFonts w:ascii="Times New Roman" w:hAnsi="Times New Roman" w:cs="Times New Roman"/>
        </w:rPr>
        <w:t xml:space="preserve">. </w:t>
      </w:r>
      <w:r w:rsidR="00E12965">
        <w:rPr>
          <w:rFonts w:ascii="Times New Roman" w:hAnsi="Times New Roman" w:cs="Times New Roman"/>
        </w:rPr>
        <w:t xml:space="preserve">Prima facie, </w:t>
      </w:r>
      <w:proofErr w:type="spellStart"/>
      <w:r w:rsidR="00E12965">
        <w:rPr>
          <w:rFonts w:ascii="Times New Roman" w:hAnsi="Times New Roman" w:cs="Times New Roman"/>
        </w:rPr>
        <w:t>BonJour’s</w:t>
      </w:r>
      <w:proofErr w:type="spellEnd"/>
      <w:r w:rsidR="00E12965">
        <w:rPr>
          <w:rFonts w:ascii="Times New Roman" w:hAnsi="Times New Roman" w:cs="Times New Roman"/>
        </w:rPr>
        <w:t xml:space="preserve"> argument commits him to strong access internalism. </w:t>
      </w:r>
    </w:p>
    <w:p w14:paraId="33E40142" w14:textId="57BB49D9" w:rsidR="00E9270A" w:rsidRDefault="00E12965" w:rsidP="00E12965">
      <w:pPr>
        <w:tabs>
          <w:tab w:val="left" w:pos="709"/>
        </w:tabs>
        <w:spacing w:line="360" w:lineRule="auto"/>
        <w:ind w:left="993" w:right="946"/>
        <w:jc w:val="both"/>
        <w:rPr>
          <w:rFonts w:ascii="Times New Roman" w:hAnsi="Times New Roman" w:cs="Times New Roman"/>
        </w:rPr>
      </w:pPr>
      <w:r>
        <w:rPr>
          <w:rFonts w:ascii="Times New Roman" w:hAnsi="Times New Roman" w:cs="Times New Roman"/>
        </w:rPr>
        <w:t>Strong Access Internalism</w:t>
      </w:r>
      <w:r>
        <w:rPr>
          <w:rFonts w:ascii="Times New Roman" w:hAnsi="Times New Roman" w:cs="Times New Roman"/>
        </w:rPr>
        <w:t xml:space="preserve"> (</w:t>
      </w:r>
      <w:r>
        <w:rPr>
          <w:rFonts w:ascii="Times New Roman" w:hAnsi="Times New Roman" w:cs="Times New Roman"/>
        </w:rPr>
        <w:t>SAI</w:t>
      </w:r>
      <w:r>
        <w:rPr>
          <w:rFonts w:ascii="Times New Roman" w:hAnsi="Times New Roman" w:cs="Times New Roman"/>
        </w:rPr>
        <w:t xml:space="preserve">): </w:t>
      </w:r>
      <w:r>
        <w:rPr>
          <w:rFonts w:ascii="Times New Roman" w:hAnsi="Times New Roman" w:cs="Times New Roman"/>
        </w:rPr>
        <w:t>Two agents, if similar in terms of the reasons they actually access, are justified to the same degree</w:t>
      </w:r>
    </w:p>
    <w:p w14:paraId="245EE54C" w14:textId="5CF36EF0" w:rsidR="005C0E1E" w:rsidRDefault="005C0E1E" w:rsidP="00E9270A">
      <w:pPr>
        <w:tabs>
          <w:tab w:val="left" w:pos="709"/>
        </w:tabs>
        <w:spacing w:line="360" w:lineRule="auto"/>
        <w:ind w:right="-46"/>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Some, such as Goldman, takes </w:t>
      </w:r>
      <w:r>
        <w:rPr>
          <w:rFonts w:ascii="Times New Roman" w:hAnsi="Times New Roman" w:cs="Times New Roman"/>
        </w:rPr>
        <w:t>DJ</w:t>
      </w:r>
      <w:r>
        <w:rPr>
          <w:rFonts w:ascii="Times New Roman" w:hAnsi="Times New Roman" w:cs="Times New Roman"/>
        </w:rPr>
        <w:t xml:space="preserve"> to </w:t>
      </w:r>
      <w:r>
        <w:rPr>
          <w:rFonts w:ascii="Times New Roman" w:hAnsi="Times New Roman" w:cs="Times New Roman"/>
        </w:rPr>
        <w:t>mean</w:t>
      </w:r>
      <w:r>
        <w:rPr>
          <w:rFonts w:ascii="Times New Roman" w:hAnsi="Times New Roman" w:cs="Times New Roman"/>
        </w:rPr>
        <w:t xml:space="preserve"> </w:t>
      </w:r>
      <w:r>
        <w:rPr>
          <w:rFonts w:ascii="Times New Roman" w:hAnsi="Times New Roman" w:cs="Times New Roman"/>
        </w:rPr>
        <w:t>that a justified belief is</w:t>
      </w:r>
      <w:r w:rsidR="007A160A">
        <w:rPr>
          <w:rFonts w:ascii="Times New Roman" w:hAnsi="Times New Roman" w:cs="Times New Roman"/>
        </w:rPr>
        <w:t xml:space="preserve"> simply</w:t>
      </w:r>
      <w:r>
        <w:rPr>
          <w:rFonts w:ascii="Times New Roman" w:hAnsi="Times New Roman" w:cs="Times New Roman"/>
        </w:rPr>
        <w:t xml:space="preserve"> blameless</w:t>
      </w:r>
      <w:r w:rsidR="007A160A">
        <w:rPr>
          <w:rFonts w:ascii="Times New Roman" w:hAnsi="Times New Roman" w:cs="Times New Roman"/>
        </w:rPr>
        <w:t xml:space="preserve"> belief</w:t>
      </w:r>
      <w:r w:rsidR="006A2564">
        <w:rPr>
          <w:rStyle w:val="FootnoteReference"/>
          <w:rFonts w:ascii="Times New Roman" w:hAnsi="Times New Roman" w:cs="Times New Roman"/>
        </w:rPr>
        <w:footnoteReference w:id="4"/>
      </w:r>
      <w:r>
        <w:rPr>
          <w:rFonts w:ascii="Times New Roman" w:hAnsi="Times New Roman" w:cs="Times New Roman"/>
        </w:rPr>
        <w:t>.</w:t>
      </w:r>
      <w:r>
        <w:rPr>
          <w:rFonts w:ascii="Times New Roman" w:hAnsi="Times New Roman" w:cs="Times New Roman"/>
        </w:rPr>
        <w:t xml:space="preserve"> Immediately, this reveals a problem for the internalist programme. Simply because, say, a surgeon is blameless for a surgical procedure going wrong, does not mean that the procedure was successful. As Williamson puts it, excusable failure is not “normatively equivalent to success</w:t>
      </w:r>
      <w:r w:rsidR="006A2564">
        <w:rPr>
          <w:rStyle w:val="FootnoteReference"/>
          <w:rFonts w:ascii="Times New Roman" w:hAnsi="Times New Roman" w:cs="Times New Roman"/>
        </w:rPr>
        <w:footnoteReference w:id="5"/>
      </w:r>
      <w:r>
        <w:rPr>
          <w:rFonts w:ascii="Times New Roman" w:hAnsi="Times New Roman" w:cs="Times New Roman"/>
        </w:rPr>
        <w:t xml:space="preserve">”. Therefore, even if </w:t>
      </w:r>
      <w:proofErr w:type="spellStart"/>
      <w:r>
        <w:rPr>
          <w:rFonts w:ascii="Times New Roman" w:hAnsi="Times New Roman" w:cs="Times New Roman"/>
        </w:rPr>
        <w:t>BonJour</w:t>
      </w:r>
      <w:proofErr w:type="spellEnd"/>
      <w:r>
        <w:rPr>
          <w:rFonts w:ascii="Times New Roman" w:hAnsi="Times New Roman" w:cs="Times New Roman"/>
        </w:rPr>
        <w:t xml:space="preserve"> is right about </w:t>
      </w:r>
      <w:r w:rsidR="00F311D4">
        <w:rPr>
          <w:rFonts w:ascii="Times New Roman" w:hAnsi="Times New Roman" w:cs="Times New Roman"/>
        </w:rPr>
        <w:t xml:space="preserve">the fact that justification is the fulfilment of some epistemic duties, he might only be partially right – the fulfilment of some epistemic </w:t>
      </w:r>
      <w:r w:rsidR="00F311D4">
        <w:rPr>
          <w:rFonts w:ascii="Times New Roman" w:hAnsi="Times New Roman" w:cs="Times New Roman"/>
        </w:rPr>
        <w:lastRenderedPageBreak/>
        <w:t xml:space="preserve">duties is insufficient for justification. Notice that internalism is also more restrictive than externalism: internalism says </w:t>
      </w:r>
      <w:r w:rsidR="00F311D4" w:rsidRPr="00F311D4">
        <w:rPr>
          <w:rFonts w:ascii="Times New Roman" w:hAnsi="Times New Roman" w:cs="Times New Roman"/>
          <w:i/>
          <w:iCs/>
        </w:rPr>
        <w:t>only</w:t>
      </w:r>
      <w:r w:rsidR="00F311D4">
        <w:rPr>
          <w:rFonts w:ascii="Times New Roman" w:hAnsi="Times New Roman" w:cs="Times New Roman"/>
        </w:rPr>
        <w:t xml:space="preserve"> internal factors can be justifiers, while externalism does not deny the role of internal factors. </w:t>
      </w:r>
      <w:proofErr w:type="spellStart"/>
      <w:r w:rsidR="00F311D4">
        <w:rPr>
          <w:rFonts w:ascii="Times New Roman" w:hAnsi="Times New Roman" w:cs="Times New Roman"/>
        </w:rPr>
        <w:t>BonJour’s</w:t>
      </w:r>
      <w:proofErr w:type="spellEnd"/>
      <w:r w:rsidR="00F311D4">
        <w:rPr>
          <w:rFonts w:ascii="Times New Roman" w:hAnsi="Times New Roman" w:cs="Times New Roman"/>
        </w:rPr>
        <w:t xml:space="preserve"> argument really only leads to the suggestion that we must include internal justifiers rather than </w:t>
      </w:r>
      <w:r w:rsidR="00F311D4" w:rsidRPr="00F311D4">
        <w:rPr>
          <w:rFonts w:ascii="Times New Roman" w:hAnsi="Times New Roman" w:cs="Times New Roman"/>
          <w:i/>
          <w:iCs/>
        </w:rPr>
        <w:t>only</w:t>
      </w:r>
      <w:r w:rsidR="00F311D4">
        <w:rPr>
          <w:rFonts w:ascii="Times New Roman" w:hAnsi="Times New Roman" w:cs="Times New Roman"/>
        </w:rPr>
        <w:t xml:space="preserve"> internal justifiers.</w:t>
      </w:r>
    </w:p>
    <w:p w14:paraId="4D80DE98" w14:textId="0CD82CD1" w:rsidR="00F311D4" w:rsidRPr="00F311D4" w:rsidRDefault="00F311D4" w:rsidP="00E9270A">
      <w:pPr>
        <w:tabs>
          <w:tab w:val="left" w:pos="709"/>
        </w:tabs>
        <w:spacing w:line="360" w:lineRule="auto"/>
        <w:ind w:right="-46"/>
        <w:jc w:val="both"/>
        <w:rPr>
          <w:rFonts w:ascii="Times New Roman" w:hAnsi="Times New Roman" w:cs="Times New Roman"/>
        </w:rPr>
      </w:pPr>
      <w:r>
        <w:rPr>
          <w:rFonts w:ascii="Times New Roman" w:hAnsi="Times New Roman" w:cs="Times New Roman"/>
        </w:rPr>
        <w:tab/>
        <w:t>Goldman also makes numerous criticisms against</w:t>
      </w:r>
      <w:r w:rsidR="00E12965">
        <w:rPr>
          <w:rFonts w:ascii="Times New Roman" w:hAnsi="Times New Roman" w:cs="Times New Roman"/>
        </w:rPr>
        <w:t xml:space="preserve"> SAI (I suspect Goldman assumes SAI)</w:t>
      </w:r>
      <w:r>
        <w:rPr>
          <w:rFonts w:ascii="Times New Roman" w:hAnsi="Times New Roman" w:cs="Times New Roman"/>
        </w:rPr>
        <w:t xml:space="preserve">, of which I focus on two. Let us call the first generalised problem, the </w:t>
      </w:r>
      <w:r w:rsidRPr="00F311D4">
        <w:rPr>
          <w:rFonts w:ascii="Times New Roman" w:hAnsi="Times New Roman" w:cs="Times New Roman"/>
          <w:i/>
          <w:iCs/>
        </w:rPr>
        <w:t>problem of inaccessible justifiers</w:t>
      </w:r>
      <w:r>
        <w:rPr>
          <w:rFonts w:ascii="Times New Roman" w:hAnsi="Times New Roman" w:cs="Times New Roman"/>
        </w:rPr>
        <w:t>. Goldman asks us to consider stored beliefs and forgotten evidence</w:t>
      </w:r>
      <w:r w:rsidR="006A2564">
        <w:rPr>
          <w:rStyle w:val="FootnoteReference"/>
          <w:rFonts w:ascii="Times New Roman" w:hAnsi="Times New Roman" w:cs="Times New Roman"/>
        </w:rPr>
        <w:footnoteReference w:id="6"/>
      </w:r>
      <w:r>
        <w:rPr>
          <w:rFonts w:ascii="Times New Roman" w:hAnsi="Times New Roman" w:cs="Times New Roman"/>
        </w:rPr>
        <w:t xml:space="preserve">. For instance, say I forgot my evidence that chocolate is unhealthy (from some magazine), but I am still said to know that chocolate is unhealthy. The point is that many justifiers do not occurrently justify much of our beliefs. </w:t>
      </w:r>
      <w:r w:rsidR="00E12965">
        <w:rPr>
          <w:rFonts w:ascii="Times New Roman" w:hAnsi="Times New Roman" w:cs="Times New Roman"/>
        </w:rPr>
        <w:t>Perhaps th</w:t>
      </w:r>
      <w:r>
        <w:rPr>
          <w:rFonts w:ascii="Times New Roman" w:hAnsi="Times New Roman" w:cs="Times New Roman"/>
        </w:rPr>
        <w:t xml:space="preserve">e internalist can appeal to the fact that one may have an internal justifier that he is generally right about these sorts of things. </w:t>
      </w:r>
      <w:r w:rsidR="00E12965">
        <w:rPr>
          <w:rFonts w:ascii="Times New Roman" w:hAnsi="Times New Roman" w:cs="Times New Roman"/>
        </w:rPr>
        <w:t xml:space="preserve">But Goldman could take issue with the fact that this is not how much of our beliefs are justified – in knowing that chocolate is unhealthy, it is unnatural to justify it through thinking that I am generally right about these things. </w:t>
      </w:r>
      <w:r>
        <w:rPr>
          <w:rFonts w:ascii="Times New Roman" w:hAnsi="Times New Roman" w:cs="Times New Roman"/>
        </w:rPr>
        <w:t xml:space="preserve">The second general problem is the problem of </w:t>
      </w:r>
      <w:r>
        <w:rPr>
          <w:rFonts w:ascii="Times New Roman" w:hAnsi="Times New Roman" w:cs="Times New Roman"/>
          <w:i/>
          <w:iCs/>
        </w:rPr>
        <w:t xml:space="preserve">unsophisticated </w:t>
      </w:r>
      <w:proofErr w:type="spellStart"/>
      <w:r>
        <w:rPr>
          <w:rFonts w:ascii="Times New Roman" w:hAnsi="Times New Roman" w:cs="Times New Roman"/>
          <w:i/>
          <w:iCs/>
        </w:rPr>
        <w:t>cognizers</w:t>
      </w:r>
      <w:proofErr w:type="spellEnd"/>
      <w:r w:rsidRPr="00127BD6">
        <w:rPr>
          <w:rFonts w:ascii="Times New Roman" w:hAnsi="Times New Roman" w:cs="Times New Roman"/>
        </w:rPr>
        <w:t xml:space="preserve">. </w:t>
      </w:r>
      <w:r>
        <w:rPr>
          <w:rFonts w:ascii="Times New Roman" w:hAnsi="Times New Roman" w:cs="Times New Roman"/>
        </w:rPr>
        <w:t>Goldman has two related examples for this problem</w:t>
      </w:r>
      <w:r w:rsidR="006A2564">
        <w:rPr>
          <w:rStyle w:val="FootnoteReference"/>
          <w:rFonts w:ascii="Times New Roman" w:hAnsi="Times New Roman" w:cs="Times New Roman"/>
        </w:rPr>
        <w:footnoteReference w:id="7"/>
      </w:r>
      <w:r>
        <w:rPr>
          <w:rFonts w:ascii="Times New Roman" w:hAnsi="Times New Roman" w:cs="Times New Roman"/>
        </w:rPr>
        <w:t xml:space="preserve">. The first is that reflective/computational tasks tend to take a very long time such that one’s internal states change </w:t>
      </w:r>
      <w:r w:rsidR="00127BD6">
        <w:rPr>
          <w:rFonts w:ascii="Times New Roman" w:hAnsi="Times New Roman" w:cs="Times New Roman"/>
        </w:rPr>
        <w:t>and new evidence crops up before the reflective task is completed. The second is that it is implausible that one can concurrently retrieve one’s whole corpus of beliefs in order to see if one’s belief p coheres with them. Goldman, Conee and Feldman take this to be a particular problem for theories of justification which requires a belief p to be justified only when it coheres with the entire belief corpus</w:t>
      </w:r>
      <w:r w:rsidR="006A2564">
        <w:rPr>
          <w:rStyle w:val="FootnoteReference"/>
          <w:rFonts w:ascii="Times New Roman" w:hAnsi="Times New Roman" w:cs="Times New Roman"/>
        </w:rPr>
        <w:footnoteReference w:id="8"/>
      </w:r>
      <w:r w:rsidR="00127BD6">
        <w:rPr>
          <w:rFonts w:ascii="Times New Roman" w:hAnsi="Times New Roman" w:cs="Times New Roman"/>
        </w:rPr>
        <w:t xml:space="preserve">, but I suspect the problem is more general. For any (internal) theory of justification requires a belief to stand in some relation to other beliefs. Foundationalism, for instance, might require some (large) subset of beliefs to stand in a linear relation </w:t>
      </w:r>
      <w:r w:rsidR="00B2329A">
        <w:rPr>
          <w:rFonts w:ascii="Times New Roman" w:hAnsi="Times New Roman" w:cs="Times New Roman"/>
        </w:rPr>
        <w:t xml:space="preserve">(thereby being strongly connected, antisymmetric, reflexive, and transitive) </w:t>
      </w:r>
      <w:r w:rsidR="00127BD6">
        <w:rPr>
          <w:rFonts w:ascii="Times New Roman" w:hAnsi="Times New Roman" w:cs="Times New Roman"/>
        </w:rPr>
        <w:t xml:space="preserve">with one another. </w:t>
      </w:r>
      <w:r w:rsidR="00E12965">
        <w:rPr>
          <w:rFonts w:ascii="Times New Roman" w:hAnsi="Times New Roman" w:cs="Times New Roman"/>
        </w:rPr>
        <w:t xml:space="preserve">More generally, Goldman’s issue with SAI is that it fails to take into account how we </w:t>
      </w:r>
      <w:r w:rsidR="00E12965" w:rsidRPr="00E12965">
        <w:rPr>
          <w:rFonts w:ascii="Times New Roman" w:hAnsi="Times New Roman" w:cs="Times New Roman"/>
          <w:i/>
          <w:iCs/>
        </w:rPr>
        <w:t>actually</w:t>
      </w:r>
      <w:r w:rsidR="00E12965">
        <w:rPr>
          <w:rFonts w:ascii="Times New Roman" w:hAnsi="Times New Roman" w:cs="Times New Roman"/>
        </w:rPr>
        <w:t xml:space="preserve"> justify our beliefs when we are said to know something.</w:t>
      </w:r>
    </w:p>
    <w:p w14:paraId="09FD6276" w14:textId="77777777" w:rsidR="00E05C72" w:rsidRPr="00C52521" w:rsidRDefault="00E05C72" w:rsidP="00E05C72">
      <w:pPr>
        <w:spacing w:line="360" w:lineRule="auto"/>
        <w:ind w:right="1655"/>
        <w:jc w:val="both"/>
        <w:rPr>
          <w:rFonts w:ascii="Times New Roman" w:hAnsi="Times New Roman" w:cs="Times New Roman"/>
        </w:rPr>
      </w:pPr>
    </w:p>
    <w:p w14:paraId="45B117E4" w14:textId="70E33A68" w:rsidR="00275777" w:rsidRDefault="00275777" w:rsidP="00F325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The whittled down access criteria</w:t>
      </w:r>
    </w:p>
    <w:p w14:paraId="766CB0AA" w14:textId="77777777" w:rsidR="0079660E" w:rsidRDefault="00E12965" w:rsidP="00127BD6">
      <w:pPr>
        <w:spacing w:line="360" w:lineRule="auto"/>
        <w:jc w:val="both"/>
        <w:rPr>
          <w:rFonts w:ascii="Times New Roman" w:hAnsi="Times New Roman" w:cs="Times New Roman"/>
        </w:rPr>
      </w:pPr>
      <w:r>
        <w:rPr>
          <w:rFonts w:ascii="Times New Roman" w:hAnsi="Times New Roman" w:cs="Times New Roman"/>
        </w:rPr>
        <w:lastRenderedPageBreak/>
        <w:tab/>
        <w:t xml:space="preserve">One knee-jerk reaction to Goldman’s criticisms is to whittle down or abandon DJ, since it is this rationality-justification link that seems to commit us to SAI. Hence, </w:t>
      </w:r>
      <w:r w:rsidR="0079660E">
        <w:rPr>
          <w:rFonts w:ascii="Times New Roman" w:hAnsi="Times New Roman" w:cs="Times New Roman"/>
        </w:rPr>
        <w:t>many responses, such as Audi’s, either whittles down DJ or abandons it entirely.</w:t>
      </w:r>
    </w:p>
    <w:p w14:paraId="2F437E92" w14:textId="3078B2B7" w:rsidR="0079660E" w:rsidRDefault="0079660E" w:rsidP="00127BD6">
      <w:pPr>
        <w:spacing w:line="360" w:lineRule="auto"/>
        <w:jc w:val="both"/>
        <w:rPr>
          <w:rFonts w:ascii="Times New Roman" w:hAnsi="Times New Roman" w:cs="Times New Roman"/>
        </w:rPr>
      </w:pPr>
      <w:r>
        <w:rPr>
          <w:rFonts w:ascii="Times New Roman" w:hAnsi="Times New Roman" w:cs="Times New Roman"/>
        </w:rPr>
        <w:tab/>
        <w:t>We can first see this in Audi’s internalism, where the grounds of justification are internal to the subject, in the sense that they are introspectively or reflectively accessible</w:t>
      </w:r>
      <w:r w:rsidR="006A2564">
        <w:rPr>
          <w:rStyle w:val="FootnoteReference"/>
          <w:rFonts w:ascii="Times New Roman" w:hAnsi="Times New Roman" w:cs="Times New Roman"/>
        </w:rPr>
        <w:footnoteReference w:id="9"/>
      </w:r>
      <w:r>
        <w:rPr>
          <w:rFonts w:ascii="Times New Roman" w:hAnsi="Times New Roman" w:cs="Times New Roman"/>
        </w:rPr>
        <w:t>. Here, we must note that Audi’s internalism is weaker than SAI, because our justifiers merely needs to be accessible, and not actually accessed</w:t>
      </w:r>
      <w:r w:rsidR="006A2564">
        <w:rPr>
          <w:rStyle w:val="FootnoteReference"/>
          <w:rFonts w:ascii="Times New Roman" w:hAnsi="Times New Roman" w:cs="Times New Roman"/>
        </w:rPr>
        <w:footnoteReference w:id="10"/>
      </w:r>
      <w:r>
        <w:rPr>
          <w:rFonts w:ascii="Times New Roman" w:hAnsi="Times New Roman" w:cs="Times New Roman"/>
        </w:rPr>
        <w:t xml:space="preserve">. Audi’s internalism therefore weakens the DJ assumption because even though Audi uses the language of epistemic obligation by linking justification to the ‘normative’ grounds of believing i.e. what </w:t>
      </w:r>
      <w:r w:rsidRPr="0079660E">
        <w:rPr>
          <w:rFonts w:ascii="Times New Roman" w:hAnsi="Times New Roman" w:cs="Times New Roman"/>
          <w:i/>
          <w:iCs/>
        </w:rPr>
        <w:t>ought</w:t>
      </w:r>
      <w:r>
        <w:rPr>
          <w:rFonts w:ascii="Times New Roman" w:hAnsi="Times New Roman" w:cs="Times New Roman"/>
        </w:rPr>
        <w:t xml:space="preserve"> to be believed, he nonetheless remains committed to a principle that entails that one need not be able to spontaneously state one’s reasons for believing in some proposition p. It just needs to be accessible via some internal mechanism</w:t>
      </w:r>
      <w:r w:rsidR="0029150E">
        <w:rPr>
          <w:rFonts w:ascii="Times New Roman" w:hAnsi="Times New Roman" w:cs="Times New Roman"/>
        </w:rPr>
        <w:t xml:space="preserve"> in some counterfactual scenario</w:t>
      </w:r>
      <w:r>
        <w:rPr>
          <w:rFonts w:ascii="Times New Roman" w:hAnsi="Times New Roman" w:cs="Times New Roman"/>
        </w:rPr>
        <w:t xml:space="preserve">. </w:t>
      </w:r>
    </w:p>
    <w:p w14:paraId="513A4D66" w14:textId="1CA9AA42" w:rsidR="00127BD6" w:rsidRDefault="0079660E" w:rsidP="00127BD6">
      <w:pPr>
        <w:spacing w:line="360" w:lineRule="auto"/>
        <w:jc w:val="both"/>
        <w:rPr>
          <w:rFonts w:ascii="Times New Roman" w:hAnsi="Times New Roman" w:cs="Times New Roman"/>
        </w:rPr>
      </w:pPr>
      <w:r>
        <w:rPr>
          <w:rFonts w:ascii="Times New Roman" w:hAnsi="Times New Roman" w:cs="Times New Roman"/>
        </w:rPr>
        <w:tab/>
        <w:t xml:space="preserve">Relatedly, Conee and Feldman push the point further, advocating for </w:t>
      </w:r>
      <w:r w:rsidRPr="0079660E">
        <w:rPr>
          <w:rFonts w:ascii="Times New Roman" w:hAnsi="Times New Roman" w:cs="Times New Roman"/>
          <w:i/>
          <w:iCs/>
        </w:rPr>
        <w:t>mentalism</w:t>
      </w:r>
      <w:r>
        <w:rPr>
          <w:rFonts w:ascii="Times New Roman" w:hAnsi="Times New Roman" w:cs="Times New Roman"/>
        </w:rPr>
        <w:t>. Now, mentalism says that two agents are equally justified if they are in the same mental state</w:t>
      </w:r>
      <w:r w:rsidR="006A2564">
        <w:rPr>
          <w:rStyle w:val="FootnoteReference"/>
          <w:rFonts w:ascii="Times New Roman" w:hAnsi="Times New Roman" w:cs="Times New Roman"/>
        </w:rPr>
        <w:footnoteReference w:id="11"/>
      </w:r>
      <w:r>
        <w:rPr>
          <w:rFonts w:ascii="Times New Roman" w:hAnsi="Times New Roman" w:cs="Times New Roman"/>
        </w:rPr>
        <w:t>. Two contrasts are in order: (</w:t>
      </w:r>
      <w:proofErr w:type="spellStart"/>
      <w:r>
        <w:rPr>
          <w:rFonts w:ascii="Times New Roman" w:hAnsi="Times New Roman" w:cs="Times New Roman"/>
        </w:rPr>
        <w:t>i</w:t>
      </w:r>
      <w:proofErr w:type="spellEnd"/>
      <w:r>
        <w:rPr>
          <w:rFonts w:ascii="Times New Roman" w:hAnsi="Times New Roman" w:cs="Times New Roman"/>
        </w:rPr>
        <w:t>) mentalism makes no commitment to whether one can know that one is in a mental state, and hence is weaker than SAI; (ii) mentalism is also weaker than Audi’s internalism, since mentalism also does not make any commitment to whether a mental state is accessible. In short, Conee and Feldman abandons the DJ assumption in its entirety</w:t>
      </w:r>
      <w:r w:rsidR="0029150E">
        <w:rPr>
          <w:rFonts w:ascii="Times New Roman" w:hAnsi="Times New Roman" w:cs="Times New Roman"/>
        </w:rPr>
        <w:t xml:space="preserve"> – justification is </w:t>
      </w:r>
      <w:r w:rsidR="006A2564">
        <w:rPr>
          <w:rFonts w:ascii="Times New Roman" w:hAnsi="Times New Roman" w:cs="Times New Roman"/>
        </w:rPr>
        <w:t>no longer</w:t>
      </w:r>
      <w:r w:rsidR="0029150E">
        <w:rPr>
          <w:rFonts w:ascii="Times New Roman" w:hAnsi="Times New Roman" w:cs="Times New Roman"/>
        </w:rPr>
        <w:t xml:space="preserve"> about fulfilling some epistemic duty</w:t>
      </w:r>
      <w:r>
        <w:rPr>
          <w:rFonts w:ascii="Times New Roman" w:hAnsi="Times New Roman" w:cs="Times New Roman"/>
        </w:rPr>
        <w:t xml:space="preserve">. The </w:t>
      </w:r>
      <w:r w:rsidR="0029150E">
        <w:rPr>
          <w:rFonts w:ascii="Times New Roman" w:hAnsi="Times New Roman" w:cs="Times New Roman"/>
        </w:rPr>
        <w:t xml:space="preserve">animating </w:t>
      </w:r>
      <w:r>
        <w:rPr>
          <w:rFonts w:ascii="Times New Roman" w:hAnsi="Times New Roman" w:cs="Times New Roman"/>
        </w:rPr>
        <w:t>reason for the two positions are clear: in trying to incorporate both stored and forgotten beliefs as plausible justifiers</w:t>
      </w:r>
      <w:r w:rsidR="0029150E">
        <w:rPr>
          <w:rFonts w:ascii="Times New Roman" w:hAnsi="Times New Roman" w:cs="Times New Roman"/>
        </w:rPr>
        <w:t xml:space="preserve">, they abandon or whittle down the access requirement – Audi’s </w:t>
      </w:r>
      <w:r w:rsidR="006A2564">
        <w:rPr>
          <w:rFonts w:ascii="Times New Roman" w:hAnsi="Times New Roman" w:cs="Times New Roman"/>
        </w:rPr>
        <w:t xml:space="preserve">counterfactual </w:t>
      </w:r>
      <w:r w:rsidR="006A2564">
        <w:rPr>
          <w:rFonts w:ascii="Times New Roman" w:hAnsi="Times New Roman" w:cs="Times New Roman"/>
        </w:rPr>
        <w:t xml:space="preserve"> </w:t>
      </w:r>
      <w:r w:rsidR="0029150E">
        <w:rPr>
          <w:rFonts w:ascii="Times New Roman" w:hAnsi="Times New Roman" w:cs="Times New Roman"/>
        </w:rPr>
        <w:t xml:space="preserve">access criterion is a </w:t>
      </w:r>
      <w:r w:rsidR="006A2564">
        <w:rPr>
          <w:rFonts w:ascii="Times New Roman" w:hAnsi="Times New Roman" w:cs="Times New Roman"/>
        </w:rPr>
        <w:t>whittled down</w:t>
      </w:r>
      <w:r w:rsidR="0029150E">
        <w:rPr>
          <w:rFonts w:ascii="Times New Roman" w:hAnsi="Times New Roman" w:cs="Times New Roman"/>
        </w:rPr>
        <w:t xml:space="preserve"> accessibility criterion, while Conee and Feldman abandons the requirement.  </w:t>
      </w:r>
      <w:r>
        <w:rPr>
          <w:rFonts w:ascii="Times New Roman" w:hAnsi="Times New Roman" w:cs="Times New Roman"/>
        </w:rPr>
        <w:t xml:space="preserve"> </w:t>
      </w:r>
    </w:p>
    <w:p w14:paraId="05CBDAEE" w14:textId="19BBEC7D" w:rsidR="0029150E" w:rsidRDefault="0029150E" w:rsidP="00127BD6">
      <w:pPr>
        <w:spacing w:line="360" w:lineRule="auto"/>
        <w:jc w:val="both"/>
        <w:rPr>
          <w:rFonts w:ascii="Times New Roman" w:hAnsi="Times New Roman" w:cs="Times New Roman"/>
        </w:rPr>
      </w:pPr>
      <w:r>
        <w:rPr>
          <w:rFonts w:ascii="Times New Roman" w:hAnsi="Times New Roman" w:cs="Times New Roman"/>
        </w:rPr>
        <w:tab/>
        <w:t>There are two powerful objections to these theories. The first, aimed at Audi, is Williamson’s argument that a combination of externalism about knowledge and internalism about justification is untenable</w:t>
      </w:r>
      <w:r w:rsidR="006A2564">
        <w:rPr>
          <w:rStyle w:val="FootnoteReference"/>
          <w:rFonts w:ascii="Times New Roman" w:hAnsi="Times New Roman" w:cs="Times New Roman"/>
        </w:rPr>
        <w:footnoteReference w:id="12"/>
      </w:r>
      <w:r>
        <w:rPr>
          <w:rFonts w:ascii="Times New Roman" w:hAnsi="Times New Roman" w:cs="Times New Roman"/>
        </w:rPr>
        <w:t xml:space="preserve">. Consider Matthew on Earth and a Twin Matthew on Twin Earth. On Earth, there are pools of water, while on Twin Earth, there are pools of </w:t>
      </w:r>
      <w:proofErr w:type="spellStart"/>
      <w:r>
        <w:rPr>
          <w:rFonts w:ascii="Times New Roman" w:hAnsi="Times New Roman" w:cs="Times New Roman"/>
        </w:rPr>
        <w:t>twater</w:t>
      </w:r>
      <w:proofErr w:type="spellEnd"/>
      <w:r>
        <w:rPr>
          <w:rFonts w:ascii="Times New Roman" w:hAnsi="Times New Roman" w:cs="Times New Roman"/>
        </w:rPr>
        <w:t xml:space="preserve">. Now, by assumption, they are internally similar in terms of the reasons they can access via reflection </w:t>
      </w:r>
      <w:r>
        <w:rPr>
          <w:rFonts w:ascii="Times New Roman" w:hAnsi="Times New Roman" w:cs="Times New Roman"/>
        </w:rPr>
        <w:lastRenderedPageBreak/>
        <w:t xml:space="preserve">– they consciously are aware of the fact that there are blue liquid pools on their earth. Now, the internalist about justification would be committed to saying that they are both equally justified to believe in the same propositions i.e. that there are pools of water and pools of </w:t>
      </w:r>
      <w:proofErr w:type="spellStart"/>
      <w:r>
        <w:rPr>
          <w:rFonts w:ascii="Times New Roman" w:hAnsi="Times New Roman" w:cs="Times New Roman"/>
        </w:rPr>
        <w:t>twater</w:t>
      </w:r>
      <w:proofErr w:type="spellEnd"/>
      <w:r>
        <w:rPr>
          <w:rFonts w:ascii="Times New Roman" w:hAnsi="Times New Roman" w:cs="Times New Roman"/>
        </w:rPr>
        <w:t>.</w:t>
      </w:r>
      <w:r w:rsidR="00B76100">
        <w:rPr>
          <w:rFonts w:ascii="Times New Roman" w:hAnsi="Times New Roman" w:cs="Times New Roman"/>
        </w:rPr>
        <w:t xml:space="preserve"> Because we are externalist about content, the former is false for Twin Matthew and the latter false for Matthew.</w:t>
      </w:r>
      <w:r>
        <w:rPr>
          <w:rFonts w:ascii="Times New Roman" w:hAnsi="Times New Roman" w:cs="Times New Roman"/>
        </w:rPr>
        <w:t xml:space="preserve"> But this makes </w:t>
      </w:r>
      <w:r w:rsidR="00B76100">
        <w:rPr>
          <w:rFonts w:ascii="Times New Roman" w:hAnsi="Times New Roman" w:cs="Times New Roman"/>
        </w:rPr>
        <w:t xml:space="preserve">being justified in believing false propositions too easy – intuitively, a justified false belief is instantiated by some misleading situation, of which the above is not. I think that this objection is even more potent against mentalism. Given content externalism, it is not so clear that mental states can be correctly characterised as ‘internal’ proper. For something to be internal, we should be able to say that it does not depend on its external environment. But given that the content of the mental states can differ on Earth and Twin Earth (referring to water and </w:t>
      </w:r>
      <w:proofErr w:type="spellStart"/>
      <w:r w:rsidR="00B76100">
        <w:rPr>
          <w:rFonts w:ascii="Times New Roman" w:hAnsi="Times New Roman" w:cs="Times New Roman"/>
        </w:rPr>
        <w:t>twater</w:t>
      </w:r>
      <w:proofErr w:type="spellEnd"/>
      <w:r w:rsidR="00B76100">
        <w:rPr>
          <w:rFonts w:ascii="Times New Roman" w:hAnsi="Times New Roman" w:cs="Times New Roman"/>
        </w:rPr>
        <w:t xml:space="preserve"> respectively), mental states especially of the epistemic kind can be said to be </w:t>
      </w:r>
      <w:proofErr w:type="spellStart"/>
      <w:r w:rsidR="00B76100">
        <w:rPr>
          <w:rFonts w:ascii="Times New Roman" w:hAnsi="Times New Roman" w:cs="Times New Roman"/>
        </w:rPr>
        <w:t>factive</w:t>
      </w:r>
      <w:proofErr w:type="spellEnd"/>
      <w:r w:rsidR="00B76100">
        <w:rPr>
          <w:rFonts w:ascii="Times New Roman" w:hAnsi="Times New Roman" w:cs="Times New Roman"/>
        </w:rPr>
        <w:t xml:space="preserve"> and hence dependent on the external environment. </w:t>
      </w:r>
      <w:r w:rsidR="007F4CAB">
        <w:rPr>
          <w:rFonts w:ascii="Times New Roman" w:hAnsi="Times New Roman" w:cs="Times New Roman"/>
        </w:rPr>
        <w:t>Case in point: Belief is a paradigmatic mental state</w:t>
      </w:r>
      <w:r w:rsidR="007A160A">
        <w:rPr>
          <w:rFonts w:ascii="Times New Roman" w:hAnsi="Times New Roman" w:cs="Times New Roman"/>
        </w:rPr>
        <w:t xml:space="preserve"> (but not </w:t>
      </w:r>
      <w:proofErr w:type="spellStart"/>
      <w:r w:rsidR="007A160A">
        <w:rPr>
          <w:rFonts w:ascii="Times New Roman" w:hAnsi="Times New Roman" w:cs="Times New Roman"/>
        </w:rPr>
        <w:t>factive</w:t>
      </w:r>
      <w:proofErr w:type="spellEnd"/>
      <w:r w:rsidR="007A160A">
        <w:rPr>
          <w:rFonts w:ascii="Times New Roman" w:hAnsi="Times New Roman" w:cs="Times New Roman"/>
        </w:rPr>
        <w:t>)</w:t>
      </w:r>
      <w:r w:rsidR="007F4CAB">
        <w:rPr>
          <w:rFonts w:ascii="Times New Roman" w:hAnsi="Times New Roman" w:cs="Times New Roman"/>
        </w:rPr>
        <w:t xml:space="preserve">, and on Earth, the belief is that there is a pool of water. Consider an internally alike agent on Twin Earth which only has </w:t>
      </w:r>
      <w:proofErr w:type="spellStart"/>
      <w:r w:rsidR="007F4CAB">
        <w:rPr>
          <w:rFonts w:ascii="Times New Roman" w:hAnsi="Times New Roman" w:cs="Times New Roman"/>
        </w:rPr>
        <w:t>twater</w:t>
      </w:r>
      <w:proofErr w:type="spellEnd"/>
      <w:r w:rsidR="007F4CAB">
        <w:rPr>
          <w:rFonts w:ascii="Times New Roman" w:hAnsi="Times New Roman" w:cs="Times New Roman"/>
        </w:rPr>
        <w:t xml:space="preserve">, and the belief refers to a pool of </w:t>
      </w:r>
      <w:proofErr w:type="spellStart"/>
      <w:r w:rsidR="007F4CAB">
        <w:rPr>
          <w:rFonts w:ascii="Times New Roman" w:hAnsi="Times New Roman" w:cs="Times New Roman"/>
        </w:rPr>
        <w:t>twater</w:t>
      </w:r>
      <w:proofErr w:type="spellEnd"/>
      <w:r w:rsidR="007F4CAB">
        <w:rPr>
          <w:rFonts w:ascii="Times New Roman" w:hAnsi="Times New Roman" w:cs="Times New Roman"/>
        </w:rPr>
        <w:t xml:space="preserve">. </w:t>
      </w:r>
    </w:p>
    <w:p w14:paraId="15FA50A5" w14:textId="500D3080" w:rsidR="00592500" w:rsidRPr="00127BD6" w:rsidRDefault="007F4CAB" w:rsidP="00127BD6">
      <w:pPr>
        <w:spacing w:line="360" w:lineRule="auto"/>
        <w:jc w:val="both"/>
        <w:rPr>
          <w:rFonts w:ascii="Times New Roman" w:hAnsi="Times New Roman" w:cs="Times New Roman"/>
        </w:rPr>
      </w:pPr>
      <w:r>
        <w:rPr>
          <w:rFonts w:ascii="Times New Roman" w:hAnsi="Times New Roman" w:cs="Times New Roman"/>
        </w:rPr>
        <w:tab/>
        <w:t>The above objection</w:t>
      </w:r>
      <w:r w:rsidR="00A92C29">
        <w:rPr>
          <w:rFonts w:ascii="Times New Roman" w:hAnsi="Times New Roman" w:cs="Times New Roman"/>
        </w:rPr>
        <w:t>,</w:t>
      </w:r>
      <w:r>
        <w:rPr>
          <w:rFonts w:ascii="Times New Roman" w:hAnsi="Times New Roman" w:cs="Times New Roman"/>
        </w:rPr>
        <w:t xml:space="preserve"> however, depends on our commitment to content externalism. I think there is a more general objection –</w:t>
      </w:r>
      <w:r w:rsidR="00A92C29">
        <w:rPr>
          <w:rFonts w:ascii="Times New Roman" w:hAnsi="Times New Roman" w:cs="Times New Roman"/>
        </w:rPr>
        <w:t xml:space="preserve"> </w:t>
      </w:r>
      <w:r>
        <w:rPr>
          <w:rFonts w:ascii="Times New Roman" w:hAnsi="Times New Roman" w:cs="Times New Roman"/>
        </w:rPr>
        <w:t xml:space="preserve">abandoning DJ makes internalism undistinctive and gives us no reason to resist the move to externalism about justification. </w:t>
      </w:r>
      <w:r w:rsidR="00A92C29">
        <w:rPr>
          <w:rFonts w:ascii="Times New Roman" w:hAnsi="Times New Roman" w:cs="Times New Roman"/>
        </w:rPr>
        <w:t>The reason why we privilege internal justifiers is connected to the idea of subjective rationality: since the only reasons we are able to articulate for fulfilling our epistemic duties in believing p are internally accessible ones, I ought to believe that p. Justifiers wholly outside our subjective ken cannot play such a normative, guiding role. Once we abandon this aspect of justification, then there is no reason why we cannot count externalist reasons (such as simply reliable mechanisms) as justifiers. In the same way, Williamson is disingenuous in suggesting that his externalist theory of justification – that our total evidence which is our total stock of knowledge is what justifies belief – satisfies the accessibility requirement via requiring the agent stand in epistemic relation with his evidence</w:t>
      </w:r>
      <w:r w:rsidR="006A2564">
        <w:rPr>
          <w:rStyle w:val="FootnoteReference"/>
          <w:rFonts w:ascii="Times New Roman" w:hAnsi="Times New Roman" w:cs="Times New Roman"/>
        </w:rPr>
        <w:footnoteReference w:id="13"/>
      </w:r>
      <w:r w:rsidR="00A92C29">
        <w:rPr>
          <w:rFonts w:ascii="Times New Roman" w:hAnsi="Times New Roman" w:cs="Times New Roman"/>
        </w:rPr>
        <w:t xml:space="preserve">. But simply ‘standing is [epistemic] relation’ is not the same as ‘accessibility’, at least in the sense that fulfilling our epistemic duties requires. To make the contrast clear: for Williamson, to stand in epistemic relation is compatible with being unaware that I know my evidence; (strong) accessibility, at least in the sense that our rationality requires, is incompatible with being unaware that I know my evidence. So, </w:t>
      </w:r>
      <w:r w:rsidR="007B6AD9">
        <w:rPr>
          <w:rFonts w:ascii="Times New Roman" w:hAnsi="Times New Roman" w:cs="Times New Roman"/>
        </w:rPr>
        <w:t xml:space="preserve">we see that there is a dual </w:t>
      </w:r>
      <w:r w:rsidR="007B6AD9">
        <w:rPr>
          <w:rFonts w:ascii="Times New Roman" w:hAnsi="Times New Roman" w:cs="Times New Roman"/>
        </w:rPr>
        <w:lastRenderedPageBreak/>
        <w:t>problem once we whittle down the access requirement: (</w:t>
      </w:r>
      <w:proofErr w:type="spellStart"/>
      <w:r w:rsidR="007B6AD9">
        <w:rPr>
          <w:rFonts w:ascii="Times New Roman" w:hAnsi="Times New Roman" w:cs="Times New Roman"/>
        </w:rPr>
        <w:t>i</w:t>
      </w:r>
      <w:proofErr w:type="spellEnd"/>
      <w:r w:rsidR="007B6AD9">
        <w:rPr>
          <w:rFonts w:ascii="Times New Roman" w:hAnsi="Times New Roman" w:cs="Times New Roman"/>
        </w:rPr>
        <w:t xml:space="preserve">) there is nothing distinctive about internalist justification and little reason to resist the movement to externalism and correspondingly (ii) it allows externalism to too easily say they satisfy an accessibility requirement. </w:t>
      </w:r>
    </w:p>
    <w:p w14:paraId="31B9E2EA" w14:textId="77777777" w:rsidR="00C52521" w:rsidRPr="00C52521" w:rsidRDefault="00C52521" w:rsidP="00C52521">
      <w:pPr>
        <w:spacing w:line="360" w:lineRule="auto"/>
        <w:ind w:left="360"/>
        <w:jc w:val="both"/>
        <w:rPr>
          <w:rFonts w:ascii="Times New Roman" w:hAnsi="Times New Roman" w:cs="Times New Roman"/>
        </w:rPr>
      </w:pPr>
    </w:p>
    <w:p w14:paraId="40DE07C3" w14:textId="2C278ADE" w:rsidR="00275777" w:rsidRPr="00275777" w:rsidRDefault="00C52521" w:rsidP="00F325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Plurality of Justificatory Standards</w:t>
      </w:r>
    </w:p>
    <w:p w14:paraId="6D11034E" w14:textId="6C2FD1D0" w:rsidR="007B6AD9" w:rsidRDefault="007B6AD9" w:rsidP="007B6AD9">
      <w:pPr>
        <w:spacing w:line="360" w:lineRule="auto"/>
        <w:jc w:val="both"/>
        <w:rPr>
          <w:rFonts w:ascii="Times New Roman" w:hAnsi="Times New Roman" w:cs="Times New Roman"/>
        </w:rPr>
      </w:pPr>
      <w:r>
        <w:rPr>
          <w:rFonts w:ascii="Times New Roman" w:hAnsi="Times New Roman" w:cs="Times New Roman"/>
        </w:rPr>
        <w:tab/>
        <w:t xml:space="preserve">There seems to be a dilemma. On one hand, the strong accessibility requirement from SAI fails to characterise the way in which we actually justify our beliefs. On the other, abandoning this strong accessibility requirement removes anything distinctive that privileges internal justifiers over external ones. Prima facie, it seems that there is no sense of ‘internal’ that renders internalism about justification plausible. But there is a way to reconcile these two horns: that these two horns apply to different kinds of beliefs that we have. </w:t>
      </w:r>
    </w:p>
    <w:p w14:paraId="7F727FF5" w14:textId="4B8428A0" w:rsidR="008A67A2" w:rsidRDefault="007B6AD9" w:rsidP="007B6AD9">
      <w:pPr>
        <w:spacing w:line="360" w:lineRule="auto"/>
        <w:jc w:val="both"/>
        <w:rPr>
          <w:rFonts w:ascii="Times New Roman" w:hAnsi="Times New Roman" w:cs="Times New Roman"/>
        </w:rPr>
      </w:pPr>
      <w:r>
        <w:rPr>
          <w:rFonts w:ascii="Times New Roman" w:hAnsi="Times New Roman" w:cs="Times New Roman"/>
        </w:rPr>
        <w:tab/>
        <w:t xml:space="preserve">To see this, let us challenge </w:t>
      </w:r>
      <w:proofErr w:type="spellStart"/>
      <w:r>
        <w:rPr>
          <w:rFonts w:ascii="Times New Roman" w:hAnsi="Times New Roman" w:cs="Times New Roman"/>
        </w:rPr>
        <w:t>BonJour’s</w:t>
      </w:r>
      <w:proofErr w:type="spellEnd"/>
      <w:r>
        <w:rPr>
          <w:rFonts w:ascii="Times New Roman" w:hAnsi="Times New Roman" w:cs="Times New Roman"/>
        </w:rPr>
        <w:t xml:space="preserve"> intuitions. We can see this from Srinivasan’s case of Nour</w:t>
      </w:r>
      <w:r w:rsidR="006A2564">
        <w:rPr>
          <w:rStyle w:val="FootnoteReference"/>
          <w:rFonts w:ascii="Times New Roman" w:hAnsi="Times New Roman" w:cs="Times New Roman"/>
        </w:rPr>
        <w:footnoteReference w:id="14"/>
      </w:r>
      <w:r>
        <w:rPr>
          <w:rFonts w:ascii="Times New Roman" w:hAnsi="Times New Roman" w:cs="Times New Roman"/>
        </w:rPr>
        <w:t xml:space="preserve">. Consider that Nour is invited to dinner by her boss. She has no reasons to think that her boss is or is not racist. They had a good dinner whereby there were many laughs. But after dinner, she could not help but shake the feeling that her boss was racist. Notice that we are more willing to say that Nour is justified in her belief. </w:t>
      </w:r>
      <w:r w:rsidR="008A67A2" w:rsidRPr="008A67A2">
        <w:rPr>
          <w:rFonts w:ascii="Times New Roman" w:hAnsi="Times New Roman" w:cs="Times New Roman"/>
        </w:rPr>
        <w:t>The reason for such intuitive attraction of the externalist verdict, Srinivasan posits, is that in “bad ideology cases” what matters is how the agent relates to “the epistemically distorting systems in which they are embedded” – that is, for reasons external to Nour, Nour is endowed with the ability to see through the ideological veil that distorts a normal agent’s view of the world</w:t>
      </w:r>
      <w:r w:rsidR="006A2564">
        <w:rPr>
          <w:rStyle w:val="FootnoteReference"/>
          <w:rFonts w:ascii="Times New Roman" w:hAnsi="Times New Roman" w:cs="Times New Roman"/>
        </w:rPr>
        <w:footnoteReference w:id="15"/>
      </w:r>
      <w:r w:rsidR="008A67A2">
        <w:rPr>
          <w:rFonts w:ascii="Times New Roman" w:hAnsi="Times New Roman" w:cs="Times New Roman"/>
        </w:rPr>
        <w:t>. But I think the point is more general</w:t>
      </w:r>
      <w:r w:rsidR="008A67A2">
        <w:rPr>
          <w:rFonts w:ascii="Times New Roman" w:hAnsi="Times New Roman" w:cs="Times New Roman"/>
        </w:rPr>
        <w:t>. Consider perfect pitch. One generally has no good reason to think they have perfect pitch. But if they believe that the note being played is F sharp, we would be compelled to say that they are justified in believing so.</w:t>
      </w:r>
      <w:r w:rsidR="008A67A2">
        <w:rPr>
          <w:rFonts w:ascii="Times New Roman" w:hAnsi="Times New Roman" w:cs="Times New Roman"/>
        </w:rPr>
        <w:t xml:space="preserve"> Or consider a naïve child who sees a toy and believes that there is a toy – surely he is justified in his belief. The point is that we often evaluate one’s justification against the backdrop of whether they are appropriately situated in some epistemic relation with their belief, at least for some beliefs. </w:t>
      </w:r>
      <w:proofErr w:type="spellStart"/>
      <w:r w:rsidR="008A67A2">
        <w:rPr>
          <w:rFonts w:ascii="Times New Roman" w:hAnsi="Times New Roman" w:cs="Times New Roman"/>
        </w:rPr>
        <w:t>BonJour’s</w:t>
      </w:r>
      <w:proofErr w:type="spellEnd"/>
      <w:r w:rsidR="008A67A2">
        <w:rPr>
          <w:rFonts w:ascii="Times New Roman" w:hAnsi="Times New Roman" w:cs="Times New Roman"/>
        </w:rPr>
        <w:t xml:space="preserve"> intuitions in these cases lose much force and seem to be more idiosyncratic than a general feature of our epistemology. </w:t>
      </w:r>
    </w:p>
    <w:p w14:paraId="1AD86034" w14:textId="6CD5E40A" w:rsidR="008A67A2" w:rsidRDefault="008A67A2" w:rsidP="007B6AD9">
      <w:pPr>
        <w:spacing w:line="360" w:lineRule="auto"/>
        <w:jc w:val="both"/>
        <w:rPr>
          <w:rFonts w:ascii="Times New Roman" w:hAnsi="Times New Roman" w:cs="Times New Roman"/>
        </w:rPr>
      </w:pPr>
      <w:r>
        <w:rPr>
          <w:rFonts w:ascii="Times New Roman" w:hAnsi="Times New Roman" w:cs="Times New Roman"/>
        </w:rPr>
        <w:tab/>
        <w:t xml:space="preserve">But there are cases in which </w:t>
      </w:r>
      <w:proofErr w:type="spellStart"/>
      <w:r>
        <w:rPr>
          <w:rFonts w:ascii="Times New Roman" w:hAnsi="Times New Roman" w:cs="Times New Roman"/>
        </w:rPr>
        <w:t>BonJour’s</w:t>
      </w:r>
      <w:proofErr w:type="spellEnd"/>
      <w:r>
        <w:rPr>
          <w:rFonts w:ascii="Times New Roman" w:hAnsi="Times New Roman" w:cs="Times New Roman"/>
        </w:rPr>
        <w:t xml:space="preserve"> intuitions seem extremely compelling. Take for instance, a belief that Fermat’s Last Theorem is true. Now, many mathematicians have very </w:t>
      </w:r>
      <w:r>
        <w:rPr>
          <w:rFonts w:ascii="Times New Roman" w:hAnsi="Times New Roman" w:cs="Times New Roman"/>
        </w:rPr>
        <w:lastRenderedPageBreak/>
        <w:t xml:space="preserve">accurate intuitions about the truth of </w:t>
      </w:r>
      <w:r w:rsidR="006A2564">
        <w:rPr>
          <w:rFonts w:ascii="Times New Roman" w:hAnsi="Times New Roman" w:cs="Times New Roman"/>
        </w:rPr>
        <w:t>conjectures</w:t>
      </w:r>
      <w:r>
        <w:rPr>
          <w:rFonts w:ascii="Times New Roman" w:hAnsi="Times New Roman" w:cs="Times New Roman"/>
        </w:rPr>
        <w:t xml:space="preserve">. But up until a proof is established and that mathematicians were aware of this proof, no one would say that any mathematician is really justified in believing that Fermat’s Last Theorem is true. Here, we see that being able to articulate one’s reasons and thus having strong access, is crucial for being justified in one’s belief. </w:t>
      </w:r>
    </w:p>
    <w:p w14:paraId="063F94D5" w14:textId="32A2A184" w:rsidR="00F60CA9" w:rsidRDefault="008A67A2" w:rsidP="00581214">
      <w:pPr>
        <w:spacing w:line="360" w:lineRule="auto"/>
        <w:ind w:firstLine="720"/>
        <w:jc w:val="both"/>
        <w:rPr>
          <w:rFonts w:ascii="Times New Roman" w:hAnsi="Times New Roman" w:cs="Times New Roman"/>
        </w:rPr>
      </w:pPr>
      <w:r>
        <w:rPr>
          <w:rFonts w:ascii="Times New Roman" w:hAnsi="Times New Roman" w:cs="Times New Roman"/>
        </w:rPr>
        <w:t>I propose that the difference between the first and second categories of cases is the following: the first case involves more basic beliefs while the second involves more complex beliefs. They therefore involve correspondingly different standards of justification. Sosa differentiates this in terms of an ‘apt true belief’ and a ‘justified true belief’ where the first involves more immediate, ‘animalistic’ beliefs such as perceptual beliefs and the second involves more sophisticated, complex beliefs</w:t>
      </w:r>
      <w:r w:rsidR="007A160A">
        <w:rPr>
          <w:rStyle w:val="FootnoteReference"/>
          <w:rFonts w:ascii="Times New Roman" w:hAnsi="Times New Roman" w:cs="Times New Roman"/>
        </w:rPr>
        <w:footnoteReference w:id="16"/>
      </w:r>
      <w:r>
        <w:rPr>
          <w:rFonts w:ascii="Times New Roman" w:hAnsi="Times New Roman" w:cs="Times New Roman"/>
        </w:rPr>
        <w:t xml:space="preserve">. In turn, we retain a strong access requirement in being able to state one’s reasons for their belief, in order to be justified in some belief. </w:t>
      </w:r>
      <w:r w:rsidR="00581214">
        <w:rPr>
          <w:rFonts w:ascii="Times New Roman" w:hAnsi="Times New Roman" w:cs="Times New Roman"/>
        </w:rPr>
        <w:t xml:space="preserve">How does this stand against Williamson’s content externalist objection? I see two ways around it. The first is to deny that the strong access requirement entails that individuals are justified to the same extent if they are internally alike. All strong access internalism says is that reasons need to be articulable by the cognizer and this counts as justification being internal, even if reasons refer to the external world. The second way is to restrict our complex beliefs where SAI applies to more abstract/mathematical beliefs, where content externalism might be less compelling. </w:t>
      </w:r>
    </w:p>
    <w:p w14:paraId="7C5C8C1A" w14:textId="206C2DBC" w:rsidR="005D1BA9" w:rsidRDefault="00581214" w:rsidP="00F32531">
      <w:pPr>
        <w:spacing w:line="360" w:lineRule="auto"/>
        <w:jc w:val="both"/>
        <w:rPr>
          <w:rFonts w:ascii="Times New Roman" w:hAnsi="Times New Roman" w:cs="Times New Roman"/>
        </w:rPr>
      </w:pPr>
      <w:r>
        <w:rPr>
          <w:rFonts w:ascii="Times New Roman" w:hAnsi="Times New Roman" w:cs="Times New Roman"/>
        </w:rPr>
        <w:tab/>
        <w:t xml:space="preserve">A more difficult objection to resist is from Goldman’s objection about unsophisticated epistemic agents – that it is implausible to bring up our whole corpus of beliefs as justifiers or to conduct computations before our internal states change. Again, there are two ways to resist this. The first is to notice that Goldman’s objection is that </w:t>
      </w:r>
      <w:r w:rsidRPr="00581214">
        <w:rPr>
          <w:rFonts w:ascii="Times New Roman" w:hAnsi="Times New Roman" w:cs="Times New Roman"/>
          <w:i/>
          <w:iCs/>
        </w:rPr>
        <w:t>mental states</w:t>
      </w:r>
      <w:r>
        <w:rPr>
          <w:rFonts w:ascii="Times New Roman" w:hAnsi="Times New Roman" w:cs="Times New Roman"/>
        </w:rPr>
        <w:t xml:space="preserve"> will change before we complete our computations. But since internalism makes no reference to mental states but articulable reasons, Goldman’s objection loses force. The second is to say that Goldman’s objection rests on the following implausible principle: </w:t>
      </w:r>
    </w:p>
    <w:p w14:paraId="04DC6054" w14:textId="4E276076" w:rsidR="00581214" w:rsidRDefault="00581214" w:rsidP="00581214">
      <w:pPr>
        <w:tabs>
          <w:tab w:val="left" w:pos="709"/>
        </w:tabs>
        <w:spacing w:line="360" w:lineRule="auto"/>
        <w:ind w:left="993" w:right="946"/>
        <w:jc w:val="both"/>
        <w:rPr>
          <w:rFonts w:ascii="Times New Roman" w:hAnsi="Times New Roman" w:cs="Times New Roman"/>
        </w:rPr>
      </w:pPr>
      <w:r>
        <w:rPr>
          <w:rFonts w:ascii="Times New Roman" w:hAnsi="Times New Roman" w:cs="Times New Roman"/>
        </w:rPr>
        <w:t>Instantaneous Justification (IJ)</w:t>
      </w:r>
      <w:r>
        <w:rPr>
          <w:rFonts w:ascii="Times New Roman" w:hAnsi="Times New Roman" w:cs="Times New Roman"/>
        </w:rPr>
        <w:t xml:space="preserve">: </w:t>
      </w:r>
      <w:r>
        <w:rPr>
          <w:rFonts w:ascii="Times New Roman" w:hAnsi="Times New Roman" w:cs="Times New Roman"/>
        </w:rPr>
        <w:t xml:space="preserve">Justification has to occur instantaneously with our beliefs </w:t>
      </w:r>
    </w:p>
    <w:p w14:paraId="6FA4B155" w14:textId="493F832C" w:rsidR="00581214" w:rsidRDefault="00581214" w:rsidP="00F32531">
      <w:pPr>
        <w:spacing w:line="360" w:lineRule="auto"/>
        <w:jc w:val="both"/>
        <w:rPr>
          <w:rFonts w:ascii="Times New Roman" w:hAnsi="Times New Roman" w:cs="Times New Roman"/>
        </w:rPr>
      </w:pPr>
      <w:r w:rsidRPr="00581214">
        <w:rPr>
          <w:rFonts w:ascii="Times New Roman" w:hAnsi="Times New Roman" w:cs="Times New Roman"/>
        </w:rPr>
        <w:t>But IJ</w:t>
      </w:r>
      <w:r>
        <w:rPr>
          <w:rFonts w:ascii="Times New Roman" w:hAnsi="Times New Roman" w:cs="Times New Roman"/>
        </w:rPr>
        <w:t xml:space="preserve"> is obviously false. Even if we only have a single justifier, it is implausible that it </w:t>
      </w:r>
      <w:r>
        <w:rPr>
          <w:rFonts w:ascii="Times New Roman" w:hAnsi="Times New Roman" w:cs="Times New Roman"/>
        </w:rPr>
        <w:t xml:space="preserve">instantaneously </w:t>
      </w:r>
      <w:r>
        <w:rPr>
          <w:rFonts w:ascii="Times New Roman" w:hAnsi="Times New Roman" w:cs="Times New Roman"/>
        </w:rPr>
        <w:t xml:space="preserve">accompanies that belief. Rather, belief and justification seem sequential, and I </w:t>
      </w:r>
      <w:r>
        <w:rPr>
          <w:rFonts w:ascii="Times New Roman" w:hAnsi="Times New Roman" w:cs="Times New Roman"/>
        </w:rPr>
        <w:lastRenderedPageBreak/>
        <w:t xml:space="preserve">do not see why </w:t>
      </w:r>
      <w:r w:rsidR="00E30B40">
        <w:rPr>
          <w:rFonts w:ascii="Times New Roman" w:hAnsi="Times New Roman" w:cs="Times New Roman"/>
        </w:rPr>
        <w:t xml:space="preserve">we cannot have an internal continuous, cumulative process of justification than a simultaneously instantaneous one. </w:t>
      </w:r>
    </w:p>
    <w:p w14:paraId="79520468" w14:textId="77777777" w:rsidR="00E30B40" w:rsidRDefault="00E30B40" w:rsidP="00F32531">
      <w:pPr>
        <w:spacing w:line="360" w:lineRule="auto"/>
        <w:jc w:val="both"/>
        <w:rPr>
          <w:rFonts w:ascii="Times New Roman" w:hAnsi="Times New Roman" w:cs="Times New Roman"/>
        </w:rPr>
      </w:pPr>
    </w:p>
    <w:p w14:paraId="79DB7F05" w14:textId="63FAE616" w:rsidR="00E30B40" w:rsidRDefault="00E30B40" w:rsidP="00F32531">
      <w:pPr>
        <w:spacing w:line="360" w:lineRule="auto"/>
        <w:jc w:val="both"/>
        <w:rPr>
          <w:rFonts w:ascii="Times New Roman" w:hAnsi="Times New Roman" w:cs="Times New Roman"/>
          <w:b/>
          <w:bCs/>
        </w:rPr>
      </w:pPr>
      <w:r>
        <w:rPr>
          <w:rFonts w:ascii="Times New Roman" w:hAnsi="Times New Roman" w:cs="Times New Roman"/>
          <w:b/>
          <w:bCs/>
        </w:rPr>
        <w:t>Conclusion</w:t>
      </w:r>
    </w:p>
    <w:p w14:paraId="2E4E81C8" w14:textId="6FC30972" w:rsidR="00E30B40" w:rsidRDefault="00E30B40" w:rsidP="00F32531">
      <w:pPr>
        <w:spacing w:line="360" w:lineRule="auto"/>
        <w:jc w:val="both"/>
        <w:rPr>
          <w:rFonts w:ascii="Times New Roman" w:hAnsi="Times New Roman" w:cs="Times New Roman"/>
        </w:rPr>
      </w:pPr>
      <w:r>
        <w:rPr>
          <w:rFonts w:ascii="Times New Roman" w:hAnsi="Times New Roman" w:cs="Times New Roman"/>
        </w:rPr>
        <w:tab/>
        <w:t xml:space="preserve">In conclusion, I have advocated for a pluralism about justification – basic beliefs have an externalist standard for justification while complex beliefs have an internalist standard for justification. This is because our intuitions regarding whether justification should be deontological depends on the kinds of beliefs that we hold. </w:t>
      </w:r>
    </w:p>
    <w:p w14:paraId="3F04C0DC" w14:textId="77777777" w:rsidR="00B37F49" w:rsidRDefault="00B37F49" w:rsidP="00F32531">
      <w:pPr>
        <w:spacing w:line="360" w:lineRule="auto"/>
        <w:jc w:val="both"/>
        <w:rPr>
          <w:rFonts w:ascii="Times New Roman" w:hAnsi="Times New Roman" w:cs="Times New Roman"/>
        </w:rPr>
      </w:pPr>
    </w:p>
    <w:p w14:paraId="05EAC506" w14:textId="77777777" w:rsidR="00B37F49" w:rsidRDefault="00B37F49" w:rsidP="00F32531">
      <w:pPr>
        <w:spacing w:line="360" w:lineRule="auto"/>
        <w:jc w:val="both"/>
        <w:rPr>
          <w:rFonts w:ascii="Times New Roman" w:hAnsi="Times New Roman" w:cs="Times New Roman"/>
        </w:rPr>
      </w:pPr>
    </w:p>
    <w:p w14:paraId="656D3967" w14:textId="2AAA61A1" w:rsidR="00B37F49" w:rsidRDefault="00B37F49" w:rsidP="00F3253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Bibliography </w:t>
      </w:r>
    </w:p>
    <w:p w14:paraId="7CF4A02D" w14:textId="732FB5F0" w:rsidR="00B37F49" w:rsidRPr="00B37F49" w:rsidRDefault="00B37F49" w:rsidP="00B37F49">
      <w:pPr>
        <w:pStyle w:val="FootnoteText"/>
        <w:spacing w:after="240" w:line="360" w:lineRule="auto"/>
        <w:ind w:left="567" w:hanging="567"/>
        <w:rPr>
          <w:rFonts w:ascii="Times New Roman" w:hAnsi="Times New Roman" w:cs="Times New Roman"/>
          <w:sz w:val="24"/>
          <w:szCs w:val="24"/>
          <w:lang w:val="en-US"/>
        </w:rPr>
      </w:pPr>
      <w:proofErr w:type="spellStart"/>
      <w:r w:rsidRPr="00B37F49">
        <w:rPr>
          <w:rFonts w:ascii="Times New Roman" w:hAnsi="Times New Roman" w:cs="Times New Roman"/>
          <w:sz w:val="24"/>
          <w:szCs w:val="24"/>
        </w:rPr>
        <w:t>BonJour</w:t>
      </w:r>
      <w:proofErr w:type="spellEnd"/>
      <w:r w:rsidRPr="00B37F49">
        <w:rPr>
          <w:rFonts w:ascii="Times New Roman" w:hAnsi="Times New Roman" w:cs="Times New Roman"/>
          <w:sz w:val="24"/>
          <w:szCs w:val="24"/>
        </w:rPr>
        <w:t xml:space="preserve">, Laurence (1980). "Externalist Theories of Empirical Knowledge." In Peter A. French, Theodore E. </w:t>
      </w:r>
      <w:proofErr w:type="spellStart"/>
      <w:r w:rsidRPr="00B37F49">
        <w:rPr>
          <w:rFonts w:ascii="Times New Roman" w:hAnsi="Times New Roman" w:cs="Times New Roman"/>
          <w:sz w:val="24"/>
          <w:szCs w:val="24"/>
        </w:rPr>
        <w:t>Uehling</w:t>
      </w:r>
      <w:proofErr w:type="spellEnd"/>
      <w:r w:rsidRPr="00B37F49">
        <w:rPr>
          <w:rFonts w:ascii="Times New Roman" w:hAnsi="Times New Roman" w:cs="Times New Roman"/>
          <w:sz w:val="24"/>
          <w:szCs w:val="24"/>
        </w:rPr>
        <w:t xml:space="preserve"> Jr., and Howard K. Wettstein (eds.), </w:t>
      </w:r>
      <w:r w:rsidRPr="00B37F49">
        <w:rPr>
          <w:rFonts w:ascii="Times New Roman" w:hAnsi="Times New Roman" w:cs="Times New Roman"/>
          <w:i/>
          <w:iCs/>
          <w:sz w:val="24"/>
          <w:szCs w:val="24"/>
        </w:rPr>
        <w:t>Midwest Studies in Philosophy</w:t>
      </w:r>
      <w:r w:rsidRPr="00B37F49">
        <w:rPr>
          <w:rFonts w:ascii="Times New Roman" w:hAnsi="Times New Roman" w:cs="Times New Roman"/>
          <w:sz w:val="24"/>
          <w:szCs w:val="24"/>
        </w:rPr>
        <w:t xml:space="preserve">, Volume 5: </w:t>
      </w:r>
      <w:r w:rsidRPr="00B37F49">
        <w:rPr>
          <w:rFonts w:ascii="Times New Roman" w:hAnsi="Times New Roman" w:cs="Times New Roman"/>
          <w:i/>
          <w:iCs/>
          <w:sz w:val="24"/>
          <w:szCs w:val="24"/>
        </w:rPr>
        <w:t>Studies in Epistemology</w:t>
      </w:r>
      <w:r w:rsidRPr="00B37F49">
        <w:rPr>
          <w:rFonts w:ascii="Times New Roman" w:hAnsi="Times New Roman" w:cs="Times New Roman"/>
          <w:sz w:val="24"/>
          <w:szCs w:val="24"/>
        </w:rPr>
        <w:t>, pp. 53–73. Minneapolis: University of Minnesota Press.</w:t>
      </w:r>
    </w:p>
    <w:p w14:paraId="2F927D65" w14:textId="04A9B0E9" w:rsidR="00B37F49" w:rsidRPr="00B37F49" w:rsidRDefault="00B37F49" w:rsidP="00B37F49">
      <w:pPr>
        <w:pStyle w:val="FootnoteText"/>
        <w:spacing w:after="240" w:line="360" w:lineRule="auto"/>
        <w:ind w:left="567" w:hanging="567"/>
        <w:rPr>
          <w:rFonts w:ascii="Times New Roman" w:hAnsi="Times New Roman" w:cs="Times New Roman"/>
          <w:sz w:val="24"/>
          <w:szCs w:val="24"/>
          <w:lang w:val="en-US"/>
        </w:rPr>
      </w:pPr>
      <w:r w:rsidRPr="00B37F49">
        <w:rPr>
          <w:rFonts w:ascii="Times New Roman" w:hAnsi="Times New Roman" w:cs="Times New Roman"/>
          <w:sz w:val="24"/>
          <w:szCs w:val="24"/>
        </w:rPr>
        <w:t xml:space="preserve">Conee, Earl, and Feldman, Richard (2001). "Internalism Defended." </w:t>
      </w:r>
      <w:r w:rsidRPr="00B37F49">
        <w:rPr>
          <w:rFonts w:ascii="Times New Roman" w:hAnsi="Times New Roman" w:cs="Times New Roman"/>
          <w:i/>
          <w:iCs/>
          <w:sz w:val="24"/>
          <w:szCs w:val="24"/>
        </w:rPr>
        <w:t>American Philosophical Quarterly</w:t>
      </w:r>
      <w:r w:rsidRPr="00B37F49">
        <w:rPr>
          <w:rFonts w:ascii="Times New Roman" w:hAnsi="Times New Roman" w:cs="Times New Roman"/>
          <w:sz w:val="24"/>
          <w:szCs w:val="24"/>
        </w:rPr>
        <w:t>, 38(1), pp. 1–18.</w:t>
      </w:r>
    </w:p>
    <w:p w14:paraId="7098C38A" w14:textId="5C54C2DB" w:rsidR="00B37F49" w:rsidRPr="00B37F49" w:rsidRDefault="00B37F49" w:rsidP="00B37F49">
      <w:pPr>
        <w:pStyle w:val="FootnoteText"/>
        <w:spacing w:after="240" w:line="360" w:lineRule="auto"/>
        <w:ind w:left="567" w:hanging="567"/>
        <w:rPr>
          <w:rFonts w:ascii="Times New Roman" w:hAnsi="Times New Roman" w:cs="Times New Roman"/>
          <w:sz w:val="24"/>
          <w:szCs w:val="24"/>
        </w:rPr>
      </w:pPr>
      <w:r w:rsidRPr="00B37F49">
        <w:rPr>
          <w:rFonts w:ascii="Times New Roman" w:hAnsi="Times New Roman" w:cs="Times New Roman"/>
          <w:sz w:val="24"/>
          <w:szCs w:val="24"/>
        </w:rPr>
        <w:t xml:space="preserve">Goldman, Alvin (1999). "Internalism Exposed." </w:t>
      </w:r>
      <w:r w:rsidRPr="00B37F49">
        <w:rPr>
          <w:rFonts w:ascii="Times New Roman" w:hAnsi="Times New Roman" w:cs="Times New Roman"/>
          <w:i/>
          <w:iCs/>
          <w:sz w:val="24"/>
          <w:szCs w:val="24"/>
        </w:rPr>
        <w:t>The Journal of Philosophy</w:t>
      </w:r>
      <w:r w:rsidRPr="00B37F49">
        <w:rPr>
          <w:rFonts w:ascii="Times New Roman" w:hAnsi="Times New Roman" w:cs="Times New Roman"/>
          <w:sz w:val="24"/>
          <w:szCs w:val="24"/>
        </w:rPr>
        <w:t>, 96(6), pp. 271–293.</w:t>
      </w:r>
    </w:p>
    <w:p w14:paraId="5FBCA28C" w14:textId="5458E011" w:rsidR="00B37F49" w:rsidRPr="00B37F49" w:rsidRDefault="00B37F49" w:rsidP="00B37F49">
      <w:pPr>
        <w:pStyle w:val="FootnoteText"/>
        <w:spacing w:after="240" w:line="360" w:lineRule="auto"/>
        <w:ind w:left="567" w:hanging="567"/>
        <w:rPr>
          <w:rFonts w:ascii="Times New Roman" w:hAnsi="Times New Roman" w:cs="Times New Roman"/>
          <w:sz w:val="24"/>
          <w:szCs w:val="24"/>
          <w:lang w:val="en-US"/>
        </w:rPr>
      </w:pPr>
      <w:r w:rsidRPr="00B37F49">
        <w:rPr>
          <w:rFonts w:ascii="Times New Roman" w:hAnsi="Times New Roman" w:cs="Times New Roman"/>
          <w:sz w:val="24"/>
          <w:szCs w:val="24"/>
        </w:rPr>
        <w:t xml:space="preserve">Srinivasan, Amia (2020). "Radical Externalism." </w:t>
      </w:r>
      <w:r w:rsidRPr="00B37F49">
        <w:rPr>
          <w:rFonts w:ascii="Times New Roman" w:hAnsi="Times New Roman" w:cs="Times New Roman"/>
          <w:i/>
          <w:iCs/>
          <w:sz w:val="24"/>
          <w:szCs w:val="24"/>
        </w:rPr>
        <w:t>The Philosophical Review</w:t>
      </w:r>
      <w:r w:rsidRPr="00B37F49">
        <w:rPr>
          <w:rFonts w:ascii="Times New Roman" w:hAnsi="Times New Roman" w:cs="Times New Roman"/>
          <w:sz w:val="24"/>
          <w:szCs w:val="24"/>
        </w:rPr>
        <w:t>, 129(3), pp. 395–431.</w:t>
      </w:r>
    </w:p>
    <w:p w14:paraId="1398DC70" w14:textId="55D4CCAB" w:rsidR="00B37F49" w:rsidRPr="00B37F49" w:rsidRDefault="00B37F49" w:rsidP="00B37F49">
      <w:pPr>
        <w:spacing w:after="240" w:line="360" w:lineRule="auto"/>
        <w:ind w:left="567" w:hanging="567"/>
        <w:jc w:val="both"/>
        <w:rPr>
          <w:rFonts w:ascii="Times New Roman" w:hAnsi="Times New Roman" w:cs="Times New Roman"/>
        </w:rPr>
      </w:pPr>
      <w:r w:rsidRPr="00B37F49">
        <w:rPr>
          <w:rFonts w:ascii="Times New Roman" w:hAnsi="Times New Roman" w:cs="Times New Roman"/>
        </w:rPr>
        <w:t xml:space="preserve">Vahid, H. 2011. 'Externalism/Internalism', in </w:t>
      </w:r>
      <w:proofErr w:type="spellStart"/>
      <w:r w:rsidRPr="00B37F49">
        <w:rPr>
          <w:rFonts w:ascii="Times New Roman" w:hAnsi="Times New Roman" w:cs="Times New Roman"/>
        </w:rPr>
        <w:t>Bernecker</w:t>
      </w:r>
      <w:proofErr w:type="spellEnd"/>
      <w:r w:rsidRPr="00B37F49">
        <w:rPr>
          <w:rFonts w:ascii="Times New Roman" w:hAnsi="Times New Roman" w:cs="Times New Roman"/>
        </w:rPr>
        <w:t xml:space="preserve">, S. and Pritchard, D. (eds.) </w:t>
      </w:r>
      <w:r w:rsidRPr="00B37F49">
        <w:rPr>
          <w:rFonts w:ascii="Times New Roman" w:hAnsi="Times New Roman" w:cs="Times New Roman"/>
          <w:i/>
          <w:iCs/>
        </w:rPr>
        <w:t>The Routledge Companion to Epistemology</w:t>
      </w:r>
      <w:r w:rsidRPr="00B37F49">
        <w:rPr>
          <w:rFonts w:ascii="Times New Roman" w:hAnsi="Times New Roman" w:cs="Times New Roman"/>
        </w:rPr>
        <w:t>. London: Routledge, pp. 144–155.</w:t>
      </w:r>
    </w:p>
    <w:p w14:paraId="72A7E881" w14:textId="77777777" w:rsidR="00B37F49" w:rsidRPr="00B37F49" w:rsidRDefault="00B37F49" w:rsidP="00B37F49">
      <w:pPr>
        <w:pStyle w:val="FootnoteText"/>
        <w:spacing w:after="240" w:line="360" w:lineRule="auto"/>
        <w:ind w:left="567" w:hanging="567"/>
        <w:rPr>
          <w:rFonts w:ascii="Times New Roman" w:hAnsi="Times New Roman" w:cs="Times New Roman"/>
          <w:sz w:val="24"/>
          <w:szCs w:val="24"/>
          <w:lang w:val="en-US"/>
        </w:rPr>
      </w:pPr>
      <w:r w:rsidRPr="00B37F49">
        <w:rPr>
          <w:rFonts w:ascii="Times New Roman" w:hAnsi="Times New Roman" w:cs="Times New Roman"/>
          <w:sz w:val="24"/>
          <w:szCs w:val="24"/>
        </w:rPr>
        <w:t xml:space="preserve">Williamson, Timothy (2007). "On Being Justified in One’s Head." In Mark Timmons, John Greco, and Alfred R. Mele (eds.), </w:t>
      </w:r>
      <w:r w:rsidRPr="00B37F49">
        <w:rPr>
          <w:rFonts w:ascii="Times New Roman" w:hAnsi="Times New Roman" w:cs="Times New Roman"/>
          <w:i/>
          <w:iCs/>
          <w:sz w:val="24"/>
          <w:szCs w:val="24"/>
        </w:rPr>
        <w:t>Rationality and the Good</w:t>
      </w:r>
      <w:r w:rsidRPr="00B37F49">
        <w:rPr>
          <w:rFonts w:ascii="Times New Roman" w:hAnsi="Times New Roman" w:cs="Times New Roman"/>
          <w:sz w:val="24"/>
          <w:szCs w:val="24"/>
        </w:rPr>
        <w:t>, pp. 106–122. Oxford: Oxford University Press.</w:t>
      </w:r>
    </w:p>
    <w:p w14:paraId="3842B85F" w14:textId="2493A876" w:rsidR="00B37F49" w:rsidRPr="003F1F36" w:rsidRDefault="003F1F36" w:rsidP="00F32531">
      <w:pPr>
        <w:spacing w:line="360" w:lineRule="auto"/>
        <w:jc w:val="both"/>
        <w:rPr>
          <w:rFonts w:ascii="Times New Roman" w:hAnsi="Times New Roman" w:cs="Times New Roman"/>
          <w:b/>
          <w:bCs/>
          <w:sz w:val="28"/>
          <w:szCs w:val="28"/>
        </w:rPr>
      </w:pPr>
      <w:r w:rsidRPr="003F1F36">
        <w:rPr>
          <w:rFonts w:ascii="Times New Roman" w:hAnsi="Times New Roman" w:cs="Times New Roman"/>
          <w:b/>
          <w:bCs/>
          <w:sz w:val="28"/>
          <w:szCs w:val="28"/>
        </w:rPr>
        <w:t xml:space="preserve">Tutorial </w:t>
      </w:r>
    </w:p>
    <w:p w14:paraId="3B2829F7" w14:textId="77777777" w:rsidR="003F1F36" w:rsidRDefault="003F1F36" w:rsidP="003F1F36">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What standards of justification for non-basic beliefs </w:t>
      </w:r>
    </w:p>
    <w:p w14:paraId="31AD21E6" w14:textId="3EAB2B99" w:rsidR="003F1F36" w:rsidRDefault="003F1F36" w:rsidP="003F1F36">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What about cases of non-reliable testimony or evidence? </w:t>
      </w:r>
    </w:p>
    <w:p w14:paraId="2972B8AC" w14:textId="77777777" w:rsidR="003F1F36" w:rsidRDefault="003F1F36" w:rsidP="003F1F36">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What would externalists justified via mathematical beliefs </w:t>
      </w:r>
    </w:p>
    <w:p w14:paraId="0F5DCD54" w14:textId="16314F74" w:rsidR="003F1F36" w:rsidRDefault="003F1F36" w:rsidP="003F1F36">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lastRenderedPageBreak/>
        <w:t xml:space="preserve">Externalists do not really preclude mathematical beliefs  </w:t>
      </w:r>
    </w:p>
    <w:p w14:paraId="7E712C90" w14:textId="20261807" w:rsidR="002F1BE2" w:rsidRDefault="002F1BE2" w:rsidP="003F1F36">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But do you not have to be justified in believing modus ponens without proof?</w:t>
      </w:r>
    </w:p>
    <w:p w14:paraId="5F7B9D48" w14:textId="3DD957D7" w:rsidR="002F1BE2" w:rsidRDefault="002F1BE2" w:rsidP="003F1F36">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Is it even true </w:t>
      </w:r>
    </w:p>
    <w:p w14:paraId="43B3955F" w14:textId="309D6BE6" w:rsidR="002F1BE2" w:rsidRDefault="002F1BE2" w:rsidP="002F1BE2">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In pain? </w:t>
      </w:r>
    </w:p>
    <w:p w14:paraId="3A51DFB5" w14:textId="2F81C233" w:rsidR="002F1BE2" w:rsidRDefault="002F1BE2" w:rsidP="002F1BE2">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Perhaps a strong externalist claim vs weak externalist claim</w:t>
      </w:r>
    </w:p>
    <w:p w14:paraId="53C09B4B" w14:textId="1D949551" w:rsidR="002F1BE2" w:rsidRDefault="002F1BE2" w:rsidP="002F1BE2">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Normativity and justification </w:t>
      </w:r>
    </w:p>
    <w:p w14:paraId="3A2A4483" w14:textId="5755A6DA" w:rsidR="002F1BE2" w:rsidRDefault="002F1BE2" w:rsidP="002F1BE2">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Do you always need justification for knowledge? </w:t>
      </w:r>
    </w:p>
    <w:p w14:paraId="637379D4" w14:textId="3621CEA8" w:rsidR="002F1BE2" w:rsidRDefault="006A184B" w:rsidP="006A184B">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Is rationality useful?</w:t>
      </w:r>
    </w:p>
    <w:p w14:paraId="4501A2FE" w14:textId="7DC93600" w:rsidR="006A184B" w:rsidRDefault="006A184B" w:rsidP="006A184B">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If I keep on taking out a red ball of a bag, and I truly believe that there is a black ball (based on initial evidence)</w:t>
      </w:r>
    </w:p>
    <w:p w14:paraId="25CD8419" w14:textId="77777777" w:rsidR="00054526" w:rsidRDefault="006A184B" w:rsidP="006A184B">
      <w:pPr>
        <w:pStyle w:val="ListParagraph"/>
        <w:numPr>
          <w:ilvl w:val="2"/>
          <w:numId w:val="4"/>
        </w:numPr>
        <w:spacing w:line="360" w:lineRule="auto"/>
        <w:jc w:val="both"/>
        <w:rPr>
          <w:rFonts w:ascii="Times New Roman" w:hAnsi="Times New Roman" w:cs="Times New Roman"/>
        </w:rPr>
      </w:pPr>
      <w:r>
        <w:rPr>
          <w:rFonts w:ascii="Times New Roman" w:hAnsi="Times New Roman" w:cs="Times New Roman"/>
        </w:rPr>
        <w:t xml:space="preserve">Do I still know that there is a black ball </w:t>
      </w:r>
    </w:p>
    <w:p w14:paraId="739EE58D" w14:textId="1C57A3B6" w:rsidR="006A184B" w:rsidRDefault="00054526" w:rsidP="00054526">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Is there a case whereby the person knows and not reasonable: Suzy looks at a surface and it looks red and someone says falsely that there is a red light </w:t>
      </w:r>
      <w:r w:rsidRPr="00054526">
        <w:rPr>
          <w:rFonts w:ascii="Times New Roman" w:hAnsi="Times New Roman" w:cs="Times New Roman"/>
        </w:rPr>
        <w:sym w:font="Wingdings" w:char="F0E0"/>
      </w:r>
      <w:r>
        <w:rPr>
          <w:rFonts w:ascii="Times New Roman" w:hAnsi="Times New Roman" w:cs="Times New Roman"/>
        </w:rPr>
        <w:t xml:space="preserve"> she ignores it; does she still know?</w:t>
      </w:r>
      <w:r w:rsidR="006A184B">
        <w:rPr>
          <w:rFonts w:ascii="Times New Roman" w:hAnsi="Times New Roman" w:cs="Times New Roman"/>
        </w:rPr>
        <w:t xml:space="preserve"> </w:t>
      </w:r>
    </w:p>
    <w:p w14:paraId="7BB62701" w14:textId="37FA4E4D" w:rsidR="00054526" w:rsidRDefault="00054526" w:rsidP="00054526">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Excusable failure /= success</w:t>
      </w:r>
    </w:p>
    <w:p w14:paraId="01EE5CB7" w14:textId="5A8D12EB" w:rsidR="00054526" w:rsidRDefault="00054526" w:rsidP="00054526">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Srinivasan cases about woman believing that women should be beaten </w:t>
      </w:r>
    </w:p>
    <w:p w14:paraId="4F6846E3" w14:textId="6D8FB4BF" w:rsidR="00054526" w:rsidRDefault="00054526" w:rsidP="00054526">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Someone who has been drugged against their knowledge </w:t>
      </w:r>
      <w:r w:rsidRPr="00054526">
        <w:rPr>
          <w:rFonts w:ascii="Times New Roman" w:hAnsi="Times New Roman" w:cs="Times New Roman"/>
        </w:rPr>
        <w:sym w:font="Wingdings" w:char="F0E0"/>
      </w:r>
      <w:r>
        <w:rPr>
          <w:rFonts w:ascii="Times New Roman" w:hAnsi="Times New Roman" w:cs="Times New Roman"/>
        </w:rPr>
        <w:t xml:space="preserve"> cannot perform proofs in natural deduction </w:t>
      </w:r>
      <w:r w:rsidRPr="00054526">
        <w:rPr>
          <w:rFonts w:ascii="Times New Roman" w:hAnsi="Times New Roman" w:cs="Times New Roman"/>
        </w:rPr>
        <w:sym w:font="Wingdings" w:char="F0E0"/>
      </w:r>
      <w:r>
        <w:rPr>
          <w:rFonts w:ascii="Times New Roman" w:hAnsi="Times New Roman" w:cs="Times New Roman"/>
        </w:rPr>
        <w:t xml:space="preserve"> blameless but unjustified </w:t>
      </w:r>
      <w:r w:rsidRPr="00054526">
        <w:rPr>
          <w:rFonts w:ascii="Times New Roman" w:hAnsi="Times New Roman" w:cs="Times New Roman"/>
        </w:rPr>
        <w:sym w:font="Wingdings" w:char="F0E0"/>
      </w:r>
      <w:r>
        <w:rPr>
          <w:rFonts w:ascii="Times New Roman" w:hAnsi="Times New Roman" w:cs="Times New Roman"/>
        </w:rPr>
        <w:t xml:space="preserve"> but are they justified</w:t>
      </w:r>
    </w:p>
    <w:p w14:paraId="0C44BB44" w14:textId="42087496" w:rsidR="00054526" w:rsidRDefault="00054526" w:rsidP="00054526">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Blameless is not a good word </w:t>
      </w:r>
      <w:r w:rsidRPr="00054526">
        <w:rPr>
          <w:rFonts w:ascii="Times New Roman" w:hAnsi="Times New Roman" w:cs="Times New Roman"/>
        </w:rPr>
        <w:sym w:font="Wingdings" w:char="F0E0"/>
      </w:r>
      <w:r>
        <w:rPr>
          <w:rFonts w:ascii="Times New Roman" w:hAnsi="Times New Roman" w:cs="Times New Roman"/>
        </w:rPr>
        <w:t xml:space="preserve"> rationality is better? </w:t>
      </w:r>
    </w:p>
    <w:p w14:paraId="5563C0EF" w14:textId="7C800E08" w:rsidR="00054526" w:rsidRDefault="00054526" w:rsidP="00054526">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Is the deontological conception important? Seems like a huge cost to pay by giving it up </w:t>
      </w:r>
      <w:r w:rsidR="00965E97" w:rsidRPr="00965E97">
        <w:rPr>
          <w:rFonts w:ascii="Times New Roman" w:hAnsi="Times New Roman" w:cs="Times New Roman"/>
        </w:rPr>
        <w:sym w:font="Wingdings" w:char="F0E0"/>
      </w:r>
      <w:r w:rsidR="00965E97">
        <w:rPr>
          <w:rFonts w:ascii="Times New Roman" w:hAnsi="Times New Roman" w:cs="Times New Roman"/>
        </w:rPr>
        <w:t xml:space="preserve"> can understand rationality in an externalist way? </w:t>
      </w:r>
    </w:p>
    <w:p w14:paraId="4E72FD62" w14:textId="5EC3E4C3" w:rsidR="00DD0B14" w:rsidRDefault="00DD0B14" w:rsidP="00054526">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Irrationality as a defeating factor but without endorsing the positive argument that rationality supports justification </w:t>
      </w:r>
    </w:p>
    <w:p w14:paraId="0E4B8525" w14:textId="014AC4C6" w:rsidR="00644847" w:rsidRDefault="00644847" w:rsidP="00054526">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Idiot savants </w:t>
      </w:r>
    </w:p>
    <w:p w14:paraId="63FEEB72" w14:textId="6905659B" w:rsidR="00423F7D" w:rsidRDefault="00B2488D" w:rsidP="00423F7D">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Motivation for the pluralist view </w:t>
      </w:r>
      <w:r w:rsidRPr="00B2488D">
        <w:rPr>
          <w:rFonts w:ascii="Times New Roman" w:hAnsi="Times New Roman" w:cs="Times New Roman"/>
        </w:rPr>
        <w:sym w:font="Wingdings" w:char="F0E0"/>
      </w:r>
      <w:r>
        <w:rPr>
          <w:rFonts w:ascii="Times New Roman" w:hAnsi="Times New Roman" w:cs="Times New Roman"/>
        </w:rPr>
        <w:t xml:space="preserve"> not just that there is no defeaters </w:t>
      </w:r>
      <w:r w:rsidRPr="00B2488D">
        <w:rPr>
          <w:rFonts w:ascii="Times New Roman" w:hAnsi="Times New Roman" w:cs="Times New Roman"/>
        </w:rPr>
        <w:sym w:font="Wingdings" w:char="F0E0"/>
      </w:r>
      <w:r>
        <w:rPr>
          <w:rFonts w:ascii="Times New Roman" w:hAnsi="Times New Roman" w:cs="Times New Roman"/>
        </w:rPr>
        <w:t xml:space="preserve"> for a limited class of claims requires internal justifiers </w:t>
      </w:r>
    </w:p>
    <w:p w14:paraId="2220645F" w14:textId="45433066" w:rsidR="00423F7D" w:rsidRDefault="00423F7D" w:rsidP="00423F7D">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Need to understand why the mathematical claim is true </w:t>
      </w:r>
    </w:p>
    <w:p w14:paraId="6F0E5C91" w14:textId="00FC7DE0" w:rsidR="00423F7D" w:rsidRDefault="00423F7D" w:rsidP="00423F7D">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Maybe a lack in know-how?</w:t>
      </w:r>
    </w:p>
    <w:p w14:paraId="7D46D737" w14:textId="1A0189AD" w:rsidR="008D64FD" w:rsidRDefault="008D64FD" w:rsidP="008D64FD">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Broad Content </w:t>
      </w:r>
      <w:r w:rsidRPr="008D64FD">
        <w:rPr>
          <w:rFonts w:ascii="Times New Roman" w:hAnsi="Times New Roman" w:cs="Times New Roman"/>
        </w:rPr>
        <w:sym w:font="Wingdings" w:char="F0E0"/>
      </w:r>
      <w:r>
        <w:rPr>
          <w:rFonts w:ascii="Times New Roman" w:hAnsi="Times New Roman" w:cs="Times New Roman"/>
        </w:rPr>
        <w:t xml:space="preserve"> Against: Justification on narrow content supervenes on internal factors</w:t>
      </w:r>
    </w:p>
    <w:p w14:paraId="7B0C725C" w14:textId="0B4B460C" w:rsidR="008D64FD" w:rsidRDefault="00C123E4" w:rsidP="00736800">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Empirical vs a priori content </w:t>
      </w:r>
      <w:r w:rsidRPr="00C123E4">
        <w:rPr>
          <w:rFonts w:ascii="Times New Roman" w:hAnsi="Times New Roman" w:cs="Times New Roman"/>
        </w:rPr>
        <w:sym w:font="Wingdings" w:char="F0E0"/>
      </w:r>
      <w:r>
        <w:rPr>
          <w:rFonts w:ascii="Times New Roman" w:hAnsi="Times New Roman" w:cs="Times New Roman"/>
        </w:rPr>
        <w:t xml:space="preserve"> different standards of justification for each </w:t>
      </w:r>
    </w:p>
    <w:p w14:paraId="1E627B1E" w14:textId="74974C6E" w:rsidR="00E441FD" w:rsidRDefault="00E441FD" w:rsidP="00E441FD">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Particular cases</w:t>
      </w:r>
    </w:p>
    <w:p w14:paraId="47F24B2D" w14:textId="067478B4" w:rsidR="00E441FD" w:rsidRPr="00736800" w:rsidRDefault="002823BD" w:rsidP="002823BD">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Degrees of justification? Particular propositions =&gt; higher level of justification</w:t>
      </w:r>
    </w:p>
    <w:sectPr w:rsidR="00E441FD" w:rsidRPr="007368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477CF" w14:textId="77777777" w:rsidR="002E04C0" w:rsidRDefault="002E04C0" w:rsidP="00F17072">
      <w:r>
        <w:separator/>
      </w:r>
    </w:p>
  </w:endnote>
  <w:endnote w:type="continuationSeparator" w:id="0">
    <w:p w14:paraId="33C43846" w14:textId="77777777" w:rsidR="002E04C0" w:rsidRDefault="002E04C0" w:rsidP="00F17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EAB82" w14:textId="77777777" w:rsidR="002E04C0" w:rsidRDefault="002E04C0" w:rsidP="00F17072">
      <w:r>
        <w:separator/>
      </w:r>
    </w:p>
  </w:footnote>
  <w:footnote w:type="continuationSeparator" w:id="0">
    <w:p w14:paraId="55F8F91C" w14:textId="77777777" w:rsidR="002E04C0" w:rsidRDefault="002E04C0" w:rsidP="00F17072">
      <w:r>
        <w:continuationSeparator/>
      </w:r>
    </w:p>
  </w:footnote>
  <w:footnote w:id="1">
    <w:p w14:paraId="4093B148" w14:textId="5DC2FCB1" w:rsidR="00F17072" w:rsidRPr="007A160A" w:rsidRDefault="00F17072">
      <w:pPr>
        <w:pStyle w:val="FootnoteText"/>
        <w:rPr>
          <w:rFonts w:ascii="Times New Roman" w:hAnsi="Times New Roman" w:cs="Times New Roman"/>
          <w:lang w:val="en-US"/>
        </w:rPr>
      </w:pPr>
      <w:r w:rsidRPr="007A160A">
        <w:rPr>
          <w:rStyle w:val="FootnoteReference"/>
          <w:rFonts w:ascii="Times New Roman" w:hAnsi="Times New Roman" w:cs="Times New Roman"/>
        </w:rPr>
        <w:footnoteRef/>
      </w:r>
      <w:r w:rsidRPr="007A160A">
        <w:rPr>
          <w:rFonts w:ascii="Times New Roman" w:hAnsi="Times New Roman" w:cs="Times New Roman"/>
        </w:rPr>
        <w:t xml:space="preserve"> </w:t>
      </w:r>
      <w:proofErr w:type="spellStart"/>
      <w:r w:rsidR="007A160A" w:rsidRPr="007A160A">
        <w:rPr>
          <w:rFonts w:ascii="Times New Roman" w:hAnsi="Times New Roman" w:cs="Times New Roman"/>
        </w:rPr>
        <w:t>BonJour</w:t>
      </w:r>
      <w:proofErr w:type="spellEnd"/>
      <w:r w:rsidR="007A160A" w:rsidRPr="007A160A">
        <w:rPr>
          <w:rFonts w:ascii="Times New Roman" w:hAnsi="Times New Roman" w:cs="Times New Roman"/>
        </w:rPr>
        <w:t xml:space="preserve">, Laurence (1980). "Externalist Theories of Empirical Knowledge." In Peter A. French, Theodore E. </w:t>
      </w:r>
      <w:proofErr w:type="spellStart"/>
      <w:r w:rsidR="007A160A" w:rsidRPr="007A160A">
        <w:rPr>
          <w:rFonts w:ascii="Times New Roman" w:hAnsi="Times New Roman" w:cs="Times New Roman"/>
        </w:rPr>
        <w:t>Uehling</w:t>
      </w:r>
      <w:proofErr w:type="spellEnd"/>
      <w:r w:rsidR="007A160A" w:rsidRPr="007A160A">
        <w:rPr>
          <w:rFonts w:ascii="Times New Roman" w:hAnsi="Times New Roman" w:cs="Times New Roman"/>
        </w:rPr>
        <w:t xml:space="preserve"> Jr., and Howard K. Wettstein (eds.), </w:t>
      </w:r>
      <w:r w:rsidR="007A160A" w:rsidRPr="007A160A">
        <w:rPr>
          <w:rFonts w:ascii="Times New Roman" w:hAnsi="Times New Roman" w:cs="Times New Roman"/>
          <w:i/>
          <w:iCs/>
        </w:rPr>
        <w:t>Midwest Studies in Philosophy</w:t>
      </w:r>
      <w:r w:rsidR="007A160A" w:rsidRPr="007A160A">
        <w:rPr>
          <w:rFonts w:ascii="Times New Roman" w:hAnsi="Times New Roman" w:cs="Times New Roman"/>
        </w:rPr>
        <w:t xml:space="preserve">, Volume 5: </w:t>
      </w:r>
      <w:r w:rsidR="007A160A" w:rsidRPr="007A160A">
        <w:rPr>
          <w:rFonts w:ascii="Times New Roman" w:hAnsi="Times New Roman" w:cs="Times New Roman"/>
          <w:i/>
          <w:iCs/>
        </w:rPr>
        <w:t>Studies in Epistemology</w:t>
      </w:r>
      <w:r w:rsidR="007A160A" w:rsidRPr="007A160A">
        <w:rPr>
          <w:rFonts w:ascii="Times New Roman" w:hAnsi="Times New Roman" w:cs="Times New Roman"/>
        </w:rPr>
        <w:t>, pp. 53–73. Minneapolis: University of Minnesota Press.</w:t>
      </w:r>
    </w:p>
  </w:footnote>
  <w:footnote w:id="2">
    <w:p w14:paraId="695233E5" w14:textId="479CDF08" w:rsidR="00F17072" w:rsidRPr="007A160A" w:rsidRDefault="00F17072">
      <w:pPr>
        <w:pStyle w:val="FootnoteText"/>
        <w:rPr>
          <w:rFonts w:ascii="Times New Roman" w:hAnsi="Times New Roman" w:cs="Times New Roman"/>
          <w:lang w:val="en-US"/>
        </w:rPr>
      </w:pPr>
      <w:r w:rsidRPr="007A160A">
        <w:rPr>
          <w:rStyle w:val="FootnoteReference"/>
          <w:rFonts w:ascii="Times New Roman" w:hAnsi="Times New Roman" w:cs="Times New Roman"/>
        </w:rPr>
        <w:footnoteRef/>
      </w:r>
      <w:r w:rsidRPr="007A160A">
        <w:rPr>
          <w:rFonts w:ascii="Times New Roman" w:hAnsi="Times New Roman" w:cs="Times New Roman"/>
        </w:rPr>
        <w:t xml:space="preserve"> </w:t>
      </w:r>
      <w:proofErr w:type="spellStart"/>
      <w:r w:rsidR="007A160A" w:rsidRPr="007A160A">
        <w:rPr>
          <w:rFonts w:ascii="Times New Roman" w:hAnsi="Times New Roman" w:cs="Times New Roman"/>
        </w:rPr>
        <w:t>BonJour</w:t>
      </w:r>
      <w:proofErr w:type="spellEnd"/>
      <w:r w:rsidR="007A160A" w:rsidRPr="007A160A">
        <w:rPr>
          <w:rFonts w:ascii="Times New Roman" w:hAnsi="Times New Roman" w:cs="Times New Roman"/>
        </w:rPr>
        <w:t xml:space="preserve">, Laurence (1980). "Externalist Theories of Empirical Knowledge." In Peter A. French, Theodore E. </w:t>
      </w:r>
      <w:proofErr w:type="spellStart"/>
      <w:r w:rsidR="007A160A" w:rsidRPr="007A160A">
        <w:rPr>
          <w:rFonts w:ascii="Times New Roman" w:hAnsi="Times New Roman" w:cs="Times New Roman"/>
        </w:rPr>
        <w:t>Uehling</w:t>
      </w:r>
      <w:proofErr w:type="spellEnd"/>
      <w:r w:rsidR="007A160A" w:rsidRPr="007A160A">
        <w:rPr>
          <w:rFonts w:ascii="Times New Roman" w:hAnsi="Times New Roman" w:cs="Times New Roman"/>
        </w:rPr>
        <w:t xml:space="preserve"> Jr., and Howard K. Wettstein (eds.), </w:t>
      </w:r>
      <w:r w:rsidR="007A160A" w:rsidRPr="007A160A">
        <w:rPr>
          <w:rFonts w:ascii="Times New Roman" w:hAnsi="Times New Roman" w:cs="Times New Roman"/>
          <w:i/>
          <w:iCs/>
        </w:rPr>
        <w:t>Midwest Studies in Philosophy</w:t>
      </w:r>
      <w:r w:rsidR="007A160A" w:rsidRPr="007A160A">
        <w:rPr>
          <w:rFonts w:ascii="Times New Roman" w:hAnsi="Times New Roman" w:cs="Times New Roman"/>
        </w:rPr>
        <w:t xml:space="preserve">, Volume 5: </w:t>
      </w:r>
      <w:r w:rsidR="007A160A" w:rsidRPr="007A160A">
        <w:rPr>
          <w:rFonts w:ascii="Times New Roman" w:hAnsi="Times New Roman" w:cs="Times New Roman"/>
          <w:i/>
          <w:iCs/>
        </w:rPr>
        <w:t>Studies in Epistemology</w:t>
      </w:r>
      <w:r w:rsidR="007A160A" w:rsidRPr="007A160A">
        <w:rPr>
          <w:rFonts w:ascii="Times New Roman" w:hAnsi="Times New Roman" w:cs="Times New Roman"/>
        </w:rPr>
        <w:t>, pp. 53–73. Minneapolis: University of Minnesota Press.</w:t>
      </w:r>
    </w:p>
  </w:footnote>
  <w:footnote w:id="3">
    <w:p w14:paraId="76E73AA4" w14:textId="68E711AA" w:rsidR="006A2564" w:rsidRPr="007A160A" w:rsidRDefault="006A2564">
      <w:pPr>
        <w:pStyle w:val="FootnoteText"/>
        <w:rPr>
          <w:rFonts w:ascii="Times New Roman" w:hAnsi="Times New Roman" w:cs="Times New Roman"/>
          <w:lang w:val="en-US"/>
        </w:rPr>
      </w:pPr>
      <w:r w:rsidRPr="007A160A">
        <w:rPr>
          <w:rStyle w:val="FootnoteReference"/>
          <w:rFonts w:ascii="Times New Roman" w:hAnsi="Times New Roman" w:cs="Times New Roman"/>
        </w:rPr>
        <w:footnoteRef/>
      </w:r>
      <w:r w:rsidRPr="007A160A">
        <w:rPr>
          <w:rFonts w:ascii="Times New Roman" w:hAnsi="Times New Roman" w:cs="Times New Roman"/>
        </w:rPr>
        <w:t xml:space="preserve"> </w:t>
      </w:r>
      <w:r w:rsidR="007A160A" w:rsidRPr="007A160A">
        <w:rPr>
          <w:rFonts w:ascii="Times New Roman" w:hAnsi="Times New Roman" w:cs="Times New Roman"/>
        </w:rPr>
        <w:t xml:space="preserve">Goldman, Alvin (1999). "Internalism Exposed." </w:t>
      </w:r>
      <w:r w:rsidR="007A160A" w:rsidRPr="007A160A">
        <w:rPr>
          <w:rFonts w:ascii="Times New Roman" w:hAnsi="Times New Roman" w:cs="Times New Roman"/>
          <w:i/>
          <w:iCs/>
        </w:rPr>
        <w:t>The Journal of Philosophy</w:t>
      </w:r>
      <w:r w:rsidR="007A160A" w:rsidRPr="007A160A">
        <w:rPr>
          <w:rFonts w:ascii="Times New Roman" w:hAnsi="Times New Roman" w:cs="Times New Roman"/>
        </w:rPr>
        <w:t>, 96(6), pp. 271–293.</w:t>
      </w:r>
    </w:p>
  </w:footnote>
  <w:footnote w:id="4">
    <w:p w14:paraId="45B0030E" w14:textId="3D6C9B44" w:rsidR="006A2564" w:rsidRPr="007A160A" w:rsidRDefault="006A2564">
      <w:pPr>
        <w:pStyle w:val="FootnoteText"/>
        <w:rPr>
          <w:rFonts w:ascii="Times New Roman" w:hAnsi="Times New Roman" w:cs="Times New Roman"/>
          <w:lang w:val="en-US"/>
        </w:rPr>
      </w:pPr>
      <w:r w:rsidRPr="007A160A">
        <w:rPr>
          <w:rStyle w:val="FootnoteReference"/>
          <w:rFonts w:ascii="Times New Roman" w:hAnsi="Times New Roman" w:cs="Times New Roman"/>
        </w:rPr>
        <w:footnoteRef/>
      </w:r>
      <w:r w:rsidRPr="007A160A">
        <w:rPr>
          <w:rFonts w:ascii="Times New Roman" w:hAnsi="Times New Roman" w:cs="Times New Roman"/>
        </w:rPr>
        <w:t xml:space="preserve"> </w:t>
      </w:r>
      <w:r w:rsidR="007A160A" w:rsidRPr="007A160A">
        <w:rPr>
          <w:rFonts w:ascii="Times New Roman" w:hAnsi="Times New Roman" w:cs="Times New Roman"/>
        </w:rPr>
        <w:t xml:space="preserve">Goldman, Alvin (1999). "Internalism Exposed." </w:t>
      </w:r>
      <w:r w:rsidR="007A160A" w:rsidRPr="007A160A">
        <w:rPr>
          <w:rFonts w:ascii="Times New Roman" w:hAnsi="Times New Roman" w:cs="Times New Roman"/>
          <w:i/>
          <w:iCs/>
        </w:rPr>
        <w:t>The Journal of Philosophy</w:t>
      </w:r>
      <w:r w:rsidR="007A160A" w:rsidRPr="007A160A">
        <w:rPr>
          <w:rFonts w:ascii="Times New Roman" w:hAnsi="Times New Roman" w:cs="Times New Roman"/>
        </w:rPr>
        <w:t>, 96(6), pp. 271–293.</w:t>
      </w:r>
    </w:p>
  </w:footnote>
  <w:footnote w:id="5">
    <w:p w14:paraId="4D802A51" w14:textId="0664D9BE" w:rsidR="006A2564" w:rsidRPr="006A2564" w:rsidRDefault="006A2564">
      <w:pPr>
        <w:pStyle w:val="FootnoteText"/>
        <w:rPr>
          <w:lang w:val="en-US"/>
        </w:rPr>
      </w:pPr>
      <w:r w:rsidRPr="007A160A">
        <w:rPr>
          <w:rStyle w:val="FootnoteReference"/>
          <w:rFonts w:ascii="Times New Roman" w:hAnsi="Times New Roman" w:cs="Times New Roman"/>
        </w:rPr>
        <w:footnoteRef/>
      </w:r>
      <w:r w:rsidRPr="007A160A">
        <w:rPr>
          <w:rFonts w:ascii="Times New Roman" w:hAnsi="Times New Roman" w:cs="Times New Roman"/>
        </w:rPr>
        <w:t xml:space="preserve"> </w:t>
      </w:r>
      <w:r w:rsidR="007A160A" w:rsidRPr="007A160A">
        <w:rPr>
          <w:rFonts w:ascii="Times New Roman" w:hAnsi="Times New Roman" w:cs="Times New Roman"/>
        </w:rPr>
        <w:t xml:space="preserve">Williamson, Timothy (2007). "On Being Justified in One’s Head." In Mark Timmons, John Greco, and Alfred R. Mele (eds.), </w:t>
      </w:r>
      <w:r w:rsidR="007A160A" w:rsidRPr="007A160A">
        <w:rPr>
          <w:rFonts w:ascii="Times New Roman" w:hAnsi="Times New Roman" w:cs="Times New Roman"/>
          <w:i/>
          <w:iCs/>
        </w:rPr>
        <w:t>Rationality and the Good</w:t>
      </w:r>
      <w:r w:rsidR="007A160A" w:rsidRPr="007A160A">
        <w:rPr>
          <w:rFonts w:ascii="Times New Roman" w:hAnsi="Times New Roman" w:cs="Times New Roman"/>
        </w:rPr>
        <w:t>, pp. 106–122. Oxford: Oxford University Press.</w:t>
      </w:r>
    </w:p>
  </w:footnote>
  <w:footnote w:id="6">
    <w:p w14:paraId="7A3960EC" w14:textId="2C7EA213" w:rsidR="006A2564" w:rsidRPr="007A160A" w:rsidRDefault="006A2564">
      <w:pPr>
        <w:pStyle w:val="FootnoteText"/>
        <w:rPr>
          <w:rFonts w:ascii="Times New Roman" w:hAnsi="Times New Roman" w:cs="Times New Roman"/>
          <w:lang w:val="en-US"/>
        </w:rPr>
      </w:pPr>
      <w:r w:rsidRPr="007A160A">
        <w:rPr>
          <w:rStyle w:val="FootnoteReference"/>
          <w:rFonts w:ascii="Times New Roman" w:hAnsi="Times New Roman" w:cs="Times New Roman"/>
        </w:rPr>
        <w:footnoteRef/>
      </w:r>
      <w:r w:rsidRPr="007A160A">
        <w:rPr>
          <w:rFonts w:ascii="Times New Roman" w:hAnsi="Times New Roman" w:cs="Times New Roman"/>
        </w:rPr>
        <w:t xml:space="preserve"> </w:t>
      </w:r>
      <w:r w:rsidR="007A160A" w:rsidRPr="007A160A">
        <w:rPr>
          <w:rFonts w:ascii="Times New Roman" w:hAnsi="Times New Roman" w:cs="Times New Roman"/>
        </w:rPr>
        <w:t xml:space="preserve">Goldman, Alvin (1999). "Internalism Exposed." </w:t>
      </w:r>
      <w:r w:rsidR="007A160A" w:rsidRPr="007A160A">
        <w:rPr>
          <w:rFonts w:ascii="Times New Roman" w:hAnsi="Times New Roman" w:cs="Times New Roman"/>
          <w:i/>
          <w:iCs/>
        </w:rPr>
        <w:t>The Journal of Philosophy</w:t>
      </w:r>
      <w:r w:rsidR="007A160A" w:rsidRPr="007A160A">
        <w:rPr>
          <w:rFonts w:ascii="Times New Roman" w:hAnsi="Times New Roman" w:cs="Times New Roman"/>
        </w:rPr>
        <w:t>, 96(6), pp. 271–293.</w:t>
      </w:r>
    </w:p>
  </w:footnote>
  <w:footnote w:id="7">
    <w:p w14:paraId="3781E9F8" w14:textId="111C8E9E" w:rsidR="006A2564" w:rsidRPr="007A160A" w:rsidRDefault="006A2564">
      <w:pPr>
        <w:pStyle w:val="FootnoteText"/>
        <w:rPr>
          <w:rFonts w:ascii="Times New Roman" w:hAnsi="Times New Roman" w:cs="Times New Roman"/>
          <w:lang w:val="en-US"/>
        </w:rPr>
      </w:pPr>
      <w:r w:rsidRPr="007A160A">
        <w:rPr>
          <w:rStyle w:val="FootnoteReference"/>
          <w:rFonts w:ascii="Times New Roman" w:hAnsi="Times New Roman" w:cs="Times New Roman"/>
        </w:rPr>
        <w:footnoteRef/>
      </w:r>
      <w:r w:rsidRPr="007A160A">
        <w:rPr>
          <w:rFonts w:ascii="Times New Roman" w:hAnsi="Times New Roman" w:cs="Times New Roman"/>
        </w:rPr>
        <w:t xml:space="preserve"> </w:t>
      </w:r>
      <w:r w:rsidR="007A160A" w:rsidRPr="007A160A">
        <w:rPr>
          <w:rFonts w:ascii="Times New Roman" w:hAnsi="Times New Roman" w:cs="Times New Roman"/>
        </w:rPr>
        <w:t xml:space="preserve">Goldman, Alvin (1999). "Internalism Exposed." </w:t>
      </w:r>
      <w:r w:rsidR="007A160A" w:rsidRPr="007A160A">
        <w:rPr>
          <w:rFonts w:ascii="Times New Roman" w:hAnsi="Times New Roman" w:cs="Times New Roman"/>
          <w:i/>
          <w:iCs/>
        </w:rPr>
        <w:t>The Journal of Philosophy</w:t>
      </w:r>
      <w:r w:rsidR="007A160A" w:rsidRPr="007A160A">
        <w:rPr>
          <w:rFonts w:ascii="Times New Roman" w:hAnsi="Times New Roman" w:cs="Times New Roman"/>
        </w:rPr>
        <w:t>, 96(6), pp. 271–293.</w:t>
      </w:r>
    </w:p>
  </w:footnote>
  <w:footnote w:id="8">
    <w:p w14:paraId="5C3BF423" w14:textId="739F4648" w:rsidR="006A2564" w:rsidRPr="006A2564" w:rsidRDefault="006A2564">
      <w:pPr>
        <w:pStyle w:val="FootnoteText"/>
        <w:rPr>
          <w:lang w:val="en-US"/>
        </w:rPr>
      </w:pPr>
      <w:r w:rsidRPr="007A160A">
        <w:rPr>
          <w:rStyle w:val="FootnoteReference"/>
          <w:rFonts w:ascii="Times New Roman" w:hAnsi="Times New Roman" w:cs="Times New Roman"/>
        </w:rPr>
        <w:footnoteRef/>
      </w:r>
      <w:r w:rsidRPr="007A160A">
        <w:rPr>
          <w:rFonts w:ascii="Times New Roman" w:hAnsi="Times New Roman" w:cs="Times New Roman"/>
        </w:rPr>
        <w:t xml:space="preserve"> </w:t>
      </w:r>
      <w:r w:rsidR="007A160A" w:rsidRPr="007A160A">
        <w:rPr>
          <w:rFonts w:ascii="Times New Roman" w:hAnsi="Times New Roman" w:cs="Times New Roman"/>
        </w:rPr>
        <w:t xml:space="preserve">Conee, Earl, and Feldman, Richard (2001). "Internalism Defended." </w:t>
      </w:r>
      <w:r w:rsidR="007A160A" w:rsidRPr="007A160A">
        <w:rPr>
          <w:rFonts w:ascii="Times New Roman" w:hAnsi="Times New Roman" w:cs="Times New Roman"/>
          <w:i/>
          <w:iCs/>
        </w:rPr>
        <w:t>American Philosophical Quarterly</w:t>
      </w:r>
      <w:r w:rsidR="007A160A" w:rsidRPr="007A160A">
        <w:rPr>
          <w:rFonts w:ascii="Times New Roman" w:hAnsi="Times New Roman" w:cs="Times New Roman"/>
        </w:rPr>
        <w:t>, 38(1), pp. 1–18.</w:t>
      </w:r>
    </w:p>
  </w:footnote>
  <w:footnote w:id="9">
    <w:p w14:paraId="050D137B" w14:textId="7B44D088" w:rsidR="006A2564" w:rsidRPr="007A160A" w:rsidRDefault="006A2564">
      <w:pPr>
        <w:pStyle w:val="FootnoteText"/>
        <w:rPr>
          <w:rFonts w:ascii="Times New Roman" w:hAnsi="Times New Roman" w:cs="Times New Roman"/>
          <w:lang w:val="en-US"/>
        </w:rPr>
      </w:pPr>
      <w:r w:rsidRPr="007A160A">
        <w:rPr>
          <w:rStyle w:val="FootnoteReference"/>
          <w:rFonts w:ascii="Times New Roman" w:hAnsi="Times New Roman" w:cs="Times New Roman"/>
        </w:rPr>
        <w:footnoteRef/>
      </w:r>
      <w:r w:rsidRPr="007A160A">
        <w:rPr>
          <w:rFonts w:ascii="Times New Roman" w:hAnsi="Times New Roman" w:cs="Times New Roman"/>
        </w:rPr>
        <w:t xml:space="preserve"> </w:t>
      </w:r>
      <w:r w:rsidR="007A160A" w:rsidRPr="007A160A">
        <w:rPr>
          <w:rFonts w:ascii="Times New Roman" w:hAnsi="Times New Roman" w:cs="Times New Roman"/>
        </w:rPr>
        <w:t xml:space="preserve">Williamson, Timothy (2007). "On Being Justified in One’s Head." In Mark Timmons, John Greco, and Alfred R. Mele (eds.), </w:t>
      </w:r>
      <w:r w:rsidR="007A160A" w:rsidRPr="007A160A">
        <w:rPr>
          <w:rFonts w:ascii="Times New Roman" w:hAnsi="Times New Roman" w:cs="Times New Roman"/>
          <w:i/>
          <w:iCs/>
        </w:rPr>
        <w:t>Rationality and the Good</w:t>
      </w:r>
      <w:r w:rsidR="007A160A" w:rsidRPr="007A160A">
        <w:rPr>
          <w:rFonts w:ascii="Times New Roman" w:hAnsi="Times New Roman" w:cs="Times New Roman"/>
        </w:rPr>
        <w:t>, pp. 106–122. Oxford: Oxford University Press.</w:t>
      </w:r>
    </w:p>
  </w:footnote>
  <w:footnote w:id="10">
    <w:p w14:paraId="216CF245" w14:textId="03922ED2" w:rsidR="006A2564" w:rsidRPr="007A160A" w:rsidRDefault="006A2564">
      <w:pPr>
        <w:pStyle w:val="FootnoteText"/>
        <w:rPr>
          <w:rFonts w:ascii="Times New Roman" w:hAnsi="Times New Roman" w:cs="Times New Roman"/>
          <w:lang w:val="en-US"/>
        </w:rPr>
      </w:pPr>
      <w:r w:rsidRPr="007A160A">
        <w:rPr>
          <w:rStyle w:val="FootnoteReference"/>
          <w:rFonts w:ascii="Times New Roman" w:hAnsi="Times New Roman" w:cs="Times New Roman"/>
        </w:rPr>
        <w:footnoteRef/>
      </w:r>
      <w:r w:rsidRPr="007A160A">
        <w:rPr>
          <w:rFonts w:ascii="Times New Roman" w:hAnsi="Times New Roman" w:cs="Times New Roman"/>
        </w:rPr>
        <w:t xml:space="preserve"> </w:t>
      </w:r>
      <w:r w:rsidR="007A160A" w:rsidRPr="007A160A">
        <w:rPr>
          <w:rFonts w:ascii="Times New Roman" w:hAnsi="Times New Roman" w:cs="Times New Roman"/>
        </w:rPr>
        <w:t xml:space="preserve">Williamson, Timothy (2007). "On Being Justified in One’s Head." In Mark Timmons, John Greco, and Alfred R. Mele (eds.), </w:t>
      </w:r>
      <w:r w:rsidR="007A160A" w:rsidRPr="007A160A">
        <w:rPr>
          <w:rFonts w:ascii="Times New Roman" w:hAnsi="Times New Roman" w:cs="Times New Roman"/>
          <w:i/>
          <w:iCs/>
        </w:rPr>
        <w:t>Rationality and the Good</w:t>
      </w:r>
      <w:r w:rsidR="007A160A" w:rsidRPr="007A160A">
        <w:rPr>
          <w:rFonts w:ascii="Times New Roman" w:hAnsi="Times New Roman" w:cs="Times New Roman"/>
        </w:rPr>
        <w:t>, pp. 106–122. Oxford: Oxford University Press.</w:t>
      </w:r>
    </w:p>
  </w:footnote>
  <w:footnote w:id="11">
    <w:p w14:paraId="4E8E3F1B" w14:textId="6838879C" w:rsidR="006A2564" w:rsidRPr="007A160A" w:rsidRDefault="006A2564">
      <w:pPr>
        <w:pStyle w:val="FootnoteText"/>
        <w:rPr>
          <w:rFonts w:ascii="Times New Roman" w:hAnsi="Times New Roman" w:cs="Times New Roman"/>
          <w:lang w:val="en-US"/>
        </w:rPr>
      </w:pPr>
      <w:r w:rsidRPr="007A160A">
        <w:rPr>
          <w:rStyle w:val="FootnoteReference"/>
          <w:rFonts w:ascii="Times New Roman" w:hAnsi="Times New Roman" w:cs="Times New Roman"/>
        </w:rPr>
        <w:footnoteRef/>
      </w:r>
      <w:r w:rsidRPr="007A160A">
        <w:rPr>
          <w:rFonts w:ascii="Times New Roman" w:hAnsi="Times New Roman" w:cs="Times New Roman"/>
        </w:rPr>
        <w:t xml:space="preserve"> </w:t>
      </w:r>
      <w:r w:rsidR="007A160A" w:rsidRPr="007A160A">
        <w:rPr>
          <w:rFonts w:ascii="Times New Roman" w:hAnsi="Times New Roman" w:cs="Times New Roman"/>
        </w:rPr>
        <w:t xml:space="preserve">Conee, Earl, and Feldman, Richard (2001). "Internalism Defended." </w:t>
      </w:r>
      <w:r w:rsidR="007A160A" w:rsidRPr="007A160A">
        <w:rPr>
          <w:rFonts w:ascii="Times New Roman" w:hAnsi="Times New Roman" w:cs="Times New Roman"/>
          <w:i/>
          <w:iCs/>
        </w:rPr>
        <w:t>American Philosophical Quarterly</w:t>
      </w:r>
      <w:r w:rsidR="007A160A" w:rsidRPr="007A160A">
        <w:rPr>
          <w:rFonts w:ascii="Times New Roman" w:hAnsi="Times New Roman" w:cs="Times New Roman"/>
        </w:rPr>
        <w:t>, 38(1), pp. 1–18.</w:t>
      </w:r>
    </w:p>
  </w:footnote>
  <w:footnote w:id="12">
    <w:p w14:paraId="6A7A9A83" w14:textId="334B4D5F" w:rsidR="006A2564" w:rsidRPr="006A2564" w:rsidRDefault="006A2564">
      <w:pPr>
        <w:pStyle w:val="FootnoteText"/>
        <w:rPr>
          <w:lang w:val="en-US"/>
        </w:rPr>
      </w:pPr>
      <w:r w:rsidRPr="007A160A">
        <w:rPr>
          <w:rStyle w:val="FootnoteReference"/>
          <w:rFonts w:ascii="Times New Roman" w:hAnsi="Times New Roman" w:cs="Times New Roman"/>
        </w:rPr>
        <w:footnoteRef/>
      </w:r>
      <w:r w:rsidRPr="007A160A">
        <w:rPr>
          <w:rFonts w:ascii="Times New Roman" w:hAnsi="Times New Roman" w:cs="Times New Roman"/>
        </w:rPr>
        <w:t xml:space="preserve"> </w:t>
      </w:r>
      <w:r w:rsidR="007A160A" w:rsidRPr="007A160A">
        <w:rPr>
          <w:rFonts w:ascii="Times New Roman" w:hAnsi="Times New Roman" w:cs="Times New Roman"/>
        </w:rPr>
        <w:t xml:space="preserve">Williamson, Timothy (2007). "On Being Justified in One’s Head." In Mark Timmons, John Greco, and Alfred R. Mele (eds.), </w:t>
      </w:r>
      <w:r w:rsidR="007A160A" w:rsidRPr="007A160A">
        <w:rPr>
          <w:rFonts w:ascii="Times New Roman" w:hAnsi="Times New Roman" w:cs="Times New Roman"/>
          <w:i/>
          <w:iCs/>
        </w:rPr>
        <w:t>Rationality and the Good</w:t>
      </w:r>
      <w:r w:rsidR="007A160A" w:rsidRPr="007A160A">
        <w:rPr>
          <w:rFonts w:ascii="Times New Roman" w:hAnsi="Times New Roman" w:cs="Times New Roman"/>
        </w:rPr>
        <w:t>, pp. 106–122. Oxford: Oxford University Press.</w:t>
      </w:r>
    </w:p>
  </w:footnote>
  <w:footnote w:id="13">
    <w:p w14:paraId="250A85E7" w14:textId="7236FF04" w:rsidR="006A2564" w:rsidRPr="00B37F49" w:rsidRDefault="006A2564">
      <w:pPr>
        <w:pStyle w:val="FootnoteText"/>
        <w:rPr>
          <w:rFonts w:ascii="Times New Roman" w:hAnsi="Times New Roman" w:cs="Times New Roman"/>
          <w:lang w:val="en-US"/>
        </w:rPr>
      </w:pPr>
      <w:r w:rsidRPr="00B37F49">
        <w:rPr>
          <w:rStyle w:val="FootnoteReference"/>
          <w:rFonts w:ascii="Times New Roman" w:hAnsi="Times New Roman" w:cs="Times New Roman"/>
        </w:rPr>
        <w:footnoteRef/>
      </w:r>
      <w:r w:rsidRPr="00B37F49">
        <w:rPr>
          <w:rFonts w:ascii="Times New Roman" w:hAnsi="Times New Roman" w:cs="Times New Roman"/>
        </w:rPr>
        <w:t xml:space="preserve"> </w:t>
      </w:r>
      <w:r w:rsidR="00B37F49" w:rsidRPr="00B37F49">
        <w:rPr>
          <w:rFonts w:ascii="Times New Roman" w:hAnsi="Times New Roman" w:cs="Times New Roman"/>
        </w:rPr>
        <w:t xml:space="preserve">Williamson, Timothy (2007). "On Being Justified in One’s Head." In Mark Timmons, John Greco, and Alfred R. Mele (eds.), </w:t>
      </w:r>
      <w:r w:rsidR="00B37F49" w:rsidRPr="00B37F49">
        <w:rPr>
          <w:rFonts w:ascii="Times New Roman" w:hAnsi="Times New Roman" w:cs="Times New Roman"/>
          <w:i/>
          <w:iCs/>
        </w:rPr>
        <w:t>Rationality and the Good</w:t>
      </w:r>
      <w:r w:rsidR="00B37F49" w:rsidRPr="00B37F49">
        <w:rPr>
          <w:rFonts w:ascii="Times New Roman" w:hAnsi="Times New Roman" w:cs="Times New Roman"/>
        </w:rPr>
        <w:t>, pp. 106–122. Oxford: Oxford University Press.</w:t>
      </w:r>
    </w:p>
  </w:footnote>
  <w:footnote w:id="14">
    <w:p w14:paraId="2263D484" w14:textId="51949BD3" w:rsidR="006A2564" w:rsidRPr="00B37F49" w:rsidRDefault="006A2564">
      <w:pPr>
        <w:pStyle w:val="FootnoteText"/>
        <w:rPr>
          <w:rFonts w:ascii="Times New Roman" w:hAnsi="Times New Roman" w:cs="Times New Roman"/>
          <w:lang w:val="en-US"/>
        </w:rPr>
      </w:pPr>
      <w:r w:rsidRPr="00B37F49">
        <w:rPr>
          <w:rStyle w:val="FootnoteReference"/>
          <w:rFonts w:ascii="Times New Roman" w:hAnsi="Times New Roman" w:cs="Times New Roman"/>
        </w:rPr>
        <w:footnoteRef/>
      </w:r>
      <w:r w:rsidRPr="00B37F49">
        <w:rPr>
          <w:rFonts w:ascii="Times New Roman" w:hAnsi="Times New Roman" w:cs="Times New Roman"/>
        </w:rPr>
        <w:t xml:space="preserve"> </w:t>
      </w:r>
      <w:r w:rsidR="00B37F49" w:rsidRPr="00B37F49">
        <w:rPr>
          <w:rFonts w:ascii="Times New Roman" w:hAnsi="Times New Roman" w:cs="Times New Roman"/>
        </w:rPr>
        <w:t xml:space="preserve">Srinivasan, Amia (2020). "Radical Externalism." </w:t>
      </w:r>
      <w:r w:rsidR="00B37F49" w:rsidRPr="00B37F49">
        <w:rPr>
          <w:rFonts w:ascii="Times New Roman" w:hAnsi="Times New Roman" w:cs="Times New Roman"/>
          <w:i/>
          <w:iCs/>
        </w:rPr>
        <w:t>The Philosophical Review</w:t>
      </w:r>
      <w:r w:rsidR="00B37F49" w:rsidRPr="00B37F49">
        <w:rPr>
          <w:rFonts w:ascii="Times New Roman" w:hAnsi="Times New Roman" w:cs="Times New Roman"/>
        </w:rPr>
        <w:t>, 129(3), pp. 395–431.</w:t>
      </w:r>
    </w:p>
  </w:footnote>
  <w:footnote w:id="15">
    <w:p w14:paraId="2817548C" w14:textId="5822B079" w:rsidR="006A2564" w:rsidRPr="006A2564" w:rsidRDefault="006A2564">
      <w:pPr>
        <w:pStyle w:val="FootnoteText"/>
        <w:rPr>
          <w:lang w:val="en-US"/>
        </w:rPr>
      </w:pPr>
      <w:r w:rsidRPr="00B37F49">
        <w:rPr>
          <w:rStyle w:val="FootnoteReference"/>
          <w:rFonts w:ascii="Times New Roman" w:hAnsi="Times New Roman" w:cs="Times New Roman"/>
        </w:rPr>
        <w:footnoteRef/>
      </w:r>
      <w:r w:rsidRPr="00B37F49">
        <w:rPr>
          <w:rFonts w:ascii="Times New Roman" w:hAnsi="Times New Roman" w:cs="Times New Roman"/>
        </w:rPr>
        <w:t xml:space="preserve"> </w:t>
      </w:r>
      <w:r w:rsidR="00B37F49" w:rsidRPr="00B37F49">
        <w:rPr>
          <w:rFonts w:ascii="Times New Roman" w:hAnsi="Times New Roman" w:cs="Times New Roman"/>
        </w:rPr>
        <w:t xml:space="preserve">Srinivasan, Amia (2020). "Radical Externalism." </w:t>
      </w:r>
      <w:r w:rsidR="00B37F49" w:rsidRPr="00B37F49">
        <w:rPr>
          <w:rFonts w:ascii="Times New Roman" w:hAnsi="Times New Roman" w:cs="Times New Roman"/>
          <w:i/>
          <w:iCs/>
        </w:rPr>
        <w:t>The Philosophical Review</w:t>
      </w:r>
      <w:r w:rsidR="00B37F49" w:rsidRPr="00B37F49">
        <w:rPr>
          <w:rFonts w:ascii="Times New Roman" w:hAnsi="Times New Roman" w:cs="Times New Roman"/>
        </w:rPr>
        <w:t>, 129(3), pp. 395–431.</w:t>
      </w:r>
    </w:p>
  </w:footnote>
  <w:footnote w:id="16">
    <w:p w14:paraId="241B1CB2" w14:textId="628760C7" w:rsidR="007A160A" w:rsidRPr="00B37F49" w:rsidRDefault="007A160A">
      <w:pPr>
        <w:pStyle w:val="FootnoteText"/>
        <w:rPr>
          <w:rFonts w:ascii="Times New Roman" w:hAnsi="Times New Roman" w:cs="Times New Roman"/>
          <w:lang w:val="en-US"/>
        </w:rPr>
      </w:pPr>
      <w:r w:rsidRPr="00B37F49">
        <w:rPr>
          <w:rStyle w:val="FootnoteReference"/>
          <w:rFonts w:ascii="Times New Roman" w:hAnsi="Times New Roman" w:cs="Times New Roman"/>
        </w:rPr>
        <w:footnoteRef/>
      </w:r>
      <w:r w:rsidRPr="00B37F49">
        <w:rPr>
          <w:rFonts w:ascii="Times New Roman" w:hAnsi="Times New Roman" w:cs="Times New Roman"/>
        </w:rPr>
        <w:t xml:space="preserve"> </w:t>
      </w:r>
      <w:r w:rsidR="00B37F49" w:rsidRPr="00B37F49">
        <w:rPr>
          <w:rFonts w:ascii="Times New Roman" w:hAnsi="Times New Roman" w:cs="Times New Roman"/>
        </w:rPr>
        <w:t xml:space="preserve">Vahid, H. 2011. 'Externalism/Internalism', in </w:t>
      </w:r>
      <w:proofErr w:type="spellStart"/>
      <w:r w:rsidR="00B37F49" w:rsidRPr="00B37F49">
        <w:rPr>
          <w:rFonts w:ascii="Times New Roman" w:hAnsi="Times New Roman" w:cs="Times New Roman"/>
        </w:rPr>
        <w:t>Bernecker</w:t>
      </w:r>
      <w:proofErr w:type="spellEnd"/>
      <w:r w:rsidR="00B37F49" w:rsidRPr="00B37F49">
        <w:rPr>
          <w:rFonts w:ascii="Times New Roman" w:hAnsi="Times New Roman" w:cs="Times New Roman"/>
        </w:rPr>
        <w:t xml:space="preserve">, S. and Pritchard, D. (eds.) </w:t>
      </w:r>
      <w:r w:rsidR="00B37F49" w:rsidRPr="00B37F49">
        <w:rPr>
          <w:rFonts w:ascii="Times New Roman" w:hAnsi="Times New Roman" w:cs="Times New Roman"/>
          <w:i/>
          <w:iCs/>
        </w:rPr>
        <w:t>The Routledge Companion to Epistemology</w:t>
      </w:r>
      <w:r w:rsidR="00B37F49" w:rsidRPr="00B37F49">
        <w:rPr>
          <w:rFonts w:ascii="Times New Roman" w:hAnsi="Times New Roman" w:cs="Times New Roman"/>
        </w:rPr>
        <w:t>. London: Routledge, pp. 144–155.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B064E"/>
    <w:multiLevelType w:val="hybridMultilevel"/>
    <w:tmpl w:val="331C0CC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17076CA"/>
    <w:multiLevelType w:val="hybridMultilevel"/>
    <w:tmpl w:val="511C19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9F97C26"/>
    <w:multiLevelType w:val="hybridMultilevel"/>
    <w:tmpl w:val="133A08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2B316FA"/>
    <w:multiLevelType w:val="hybridMultilevel"/>
    <w:tmpl w:val="B10482F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9942282">
    <w:abstractNumId w:val="0"/>
  </w:num>
  <w:num w:numId="2" w16cid:durableId="396980213">
    <w:abstractNumId w:val="3"/>
  </w:num>
  <w:num w:numId="3" w16cid:durableId="1634748438">
    <w:abstractNumId w:val="1"/>
  </w:num>
  <w:num w:numId="4" w16cid:durableId="1154679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531"/>
    <w:rsid w:val="00054526"/>
    <w:rsid w:val="00127BD6"/>
    <w:rsid w:val="001D22F4"/>
    <w:rsid w:val="00275777"/>
    <w:rsid w:val="002810AF"/>
    <w:rsid w:val="002823BD"/>
    <w:rsid w:val="0029150E"/>
    <w:rsid w:val="002E04C0"/>
    <w:rsid w:val="002E5654"/>
    <w:rsid w:val="002F1BE2"/>
    <w:rsid w:val="00375CA0"/>
    <w:rsid w:val="003F1F36"/>
    <w:rsid w:val="003F28E1"/>
    <w:rsid w:val="00423F7D"/>
    <w:rsid w:val="00503EFA"/>
    <w:rsid w:val="00581214"/>
    <w:rsid w:val="00592500"/>
    <w:rsid w:val="005C0E1E"/>
    <w:rsid w:val="005D1BA9"/>
    <w:rsid w:val="00644847"/>
    <w:rsid w:val="006A184B"/>
    <w:rsid w:val="006A2564"/>
    <w:rsid w:val="00726507"/>
    <w:rsid w:val="00736800"/>
    <w:rsid w:val="0079660E"/>
    <w:rsid w:val="007A160A"/>
    <w:rsid w:val="007B6AD9"/>
    <w:rsid w:val="007F1E33"/>
    <w:rsid w:val="007F4CAB"/>
    <w:rsid w:val="008928AD"/>
    <w:rsid w:val="00895B98"/>
    <w:rsid w:val="008A67A2"/>
    <w:rsid w:val="008D64FD"/>
    <w:rsid w:val="00915F8E"/>
    <w:rsid w:val="00965E97"/>
    <w:rsid w:val="00A72CEB"/>
    <w:rsid w:val="00A92C29"/>
    <w:rsid w:val="00AB3B31"/>
    <w:rsid w:val="00AC1A99"/>
    <w:rsid w:val="00B2329A"/>
    <w:rsid w:val="00B2488D"/>
    <w:rsid w:val="00B37F49"/>
    <w:rsid w:val="00B76100"/>
    <w:rsid w:val="00B85695"/>
    <w:rsid w:val="00BA7FAD"/>
    <w:rsid w:val="00C123E4"/>
    <w:rsid w:val="00C52521"/>
    <w:rsid w:val="00CD57AC"/>
    <w:rsid w:val="00D31D0F"/>
    <w:rsid w:val="00D61606"/>
    <w:rsid w:val="00DD0B14"/>
    <w:rsid w:val="00E05C72"/>
    <w:rsid w:val="00E1222B"/>
    <w:rsid w:val="00E12965"/>
    <w:rsid w:val="00E30B40"/>
    <w:rsid w:val="00E366CF"/>
    <w:rsid w:val="00E441FD"/>
    <w:rsid w:val="00E8629A"/>
    <w:rsid w:val="00E9270A"/>
    <w:rsid w:val="00F17072"/>
    <w:rsid w:val="00F311D4"/>
    <w:rsid w:val="00F32531"/>
    <w:rsid w:val="00F60CA9"/>
    <w:rsid w:val="00F72C66"/>
    <w:rsid w:val="00FD4AFA"/>
    <w:rsid w:val="00FD6EB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DC170B"/>
  <w15:chartTrackingRefBased/>
  <w15:docId w15:val="{67329246-02FA-494A-A181-6C9BE5720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5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5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5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5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531"/>
    <w:rPr>
      <w:rFonts w:eastAsiaTheme="majorEastAsia" w:cstheme="majorBidi"/>
      <w:color w:val="272727" w:themeColor="text1" w:themeTint="D8"/>
    </w:rPr>
  </w:style>
  <w:style w:type="paragraph" w:styleId="Title">
    <w:name w:val="Title"/>
    <w:basedOn w:val="Normal"/>
    <w:next w:val="Normal"/>
    <w:link w:val="TitleChar"/>
    <w:uiPriority w:val="10"/>
    <w:qFormat/>
    <w:rsid w:val="00F325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5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5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2531"/>
    <w:rPr>
      <w:i/>
      <w:iCs/>
      <w:color w:val="404040" w:themeColor="text1" w:themeTint="BF"/>
    </w:rPr>
  </w:style>
  <w:style w:type="paragraph" w:styleId="ListParagraph">
    <w:name w:val="List Paragraph"/>
    <w:basedOn w:val="Normal"/>
    <w:uiPriority w:val="34"/>
    <w:qFormat/>
    <w:rsid w:val="00F32531"/>
    <w:pPr>
      <w:ind w:left="720"/>
      <w:contextualSpacing/>
    </w:pPr>
  </w:style>
  <w:style w:type="character" w:styleId="IntenseEmphasis">
    <w:name w:val="Intense Emphasis"/>
    <w:basedOn w:val="DefaultParagraphFont"/>
    <w:uiPriority w:val="21"/>
    <w:qFormat/>
    <w:rsid w:val="00F32531"/>
    <w:rPr>
      <w:i/>
      <w:iCs/>
      <w:color w:val="0F4761" w:themeColor="accent1" w:themeShade="BF"/>
    </w:rPr>
  </w:style>
  <w:style w:type="paragraph" w:styleId="IntenseQuote">
    <w:name w:val="Intense Quote"/>
    <w:basedOn w:val="Normal"/>
    <w:next w:val="Normal"/>
    <w:link w:val="IntenseQuoteChar"/>
    <w:uiPriority w:val="30"/>
    <w:qFormat/>
    <w:rsid w:val="00F32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531"/>
    <w:rPr>
      <w:i/>
      <w:iCs/>
      <w:color w:val="0F4761" w:themeColor="accent1" w:themeShade="BF"/>
    </w:rPr>
  </w:style>
  <w:style w:type="character" w:styleId="IntenseReference">
    <w:name w:val="Intense Reference"/>
    <w:basedOn w:val="DefaultParagraphFont"/>
    <w:uiPriority w:val="32"/>
    <w:qFormat/>
    <w:rsid w:val="00F32531"/>
    <w:rPr>
      <w:b/>
      <w:bCs/>
      <w:smallCaps/>
      <w:color w:val="0F4761" w:themeColor="accent1" w:themeShade="BF"/>
      <w:spacing w:val="5"/>
    </w:rPr>
  </w:style>
  <w:style w:type="paragraph" w:styleId="FootnoteText">
    <w:name w:val="footnote text"/>
    <w:basedOn w:val="Normal"/>
    <w:link w:val="FootnoteTextChar"/>
    <w:uiPriority w:val="99"/>
    <w:unhideWhenUsed/>
    <w:rsid w:val="00F17072"/>
    <w:rPr>
      <w:sz w:val="20"/>
      <w:szCs w:val="20"/>
    </w:rPr>
  </w:style>
  <w:style w:type="character" w:customStyle="1" w:styleId="FootnoteTextChar">
    <w:name w:val="Footnote Text Char"/>
    <w:basedOn w:val="DefaultParagraphFont"/>
    <w:link w:val="FootnoteText"/>
    <w:uiPriority w:val="99"/>
    <w:rsid w:val="00F17072"/>
    <w:rPr>
      <w:sz w:val="20"/>
      <w:szCs w:val="20"/>
    </w:rPr>
  </w:style>
  <w:style w:type="character" w:styleId="FootnoteReference">
    <w:name w:val="footnote reference"/>
    <w:basedOn w:val="DefaultParagraphFont"/>
    <w:uiPriority w:val="99"/>
    <w:semiHidden/>
    <w:unhideWhenUsed/>
    <w:rsid w:val="00F1707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46483">
      <w:bodyDiv w:val="1"/>
      <w:marLeft w:val="0"/>
      <w:marRight w:val="0"/>
      <w:marTop w:val="0"/>
      <w:marBottom w:val="0"/>
      <w:divBdr>
        <w:top w:val="none" w:sz="0" w:space="0" w:color="auto"/>
        <w:left w:val="none" w:sz="0" w:space="0" w:color="auto"/>
        <w:bottom w:val="none" w:sz="0" w:space="0" w:color="auto"/>
        <w:right w:val="none" w:sz="0" w:space="0" w:color="auto"/>
      </w:divBdr>
    </w:div>
    <w:div w:id="2002654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1F641-0490-D94F-85B5-2302B1223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9</Pages>
  <Words>3350</Words>
  <Characters>17624</Characters>
  <Application>Microsoft Office Word</Application>
  <DocSecurity>0</DocSecurity>
  <Lines>251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Tan</dc:creator>
  <cp:keywords/>
  <dc:description/>
  <cp:lastModifiedBy>Matthew Tan</cp:lastModifiedBy>
  <cp:revision>42</cp:revision>
  <dcterms:created xsi:type="dcterms:W3CDTF">2025-01-24T15:55:00Z</dcterms:created>
  <dcterms:modified xsi:type="dcterms:W3CDTF">2025-02-04T11:44:00Z</dcterms:modified>
</cp:coreProperties>
</file>