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C1131">
      <w:pPr>
        <w:widowControl/>
        <w:jc w:val="left"/>
        <w:rPr>
          <w:rFonts w:ascii="微软雅黑" w:hAnsi="微软雅黑" w:eastAsia="微软雅黑"/>
          <w:b/>
          <w:bCs/>
          <w:kern w:val="44"/>
          <w:sz w:val="18"/>
          <w:szCs w:val="18"/>
        </w:rPr>
      </w:pPr>
      <w:r>
        <w:drawing>
          <wp:inline distT="0" distB="0" distL="0" distR="0">
            <wp:extent cx="1104900" cy="1002030"/>
            <wp:effectExtent l="0" t="0" r="0" b="762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4900" cy="1002030"/>
                    </a:xfrm>
                    <a:prstGeom prst="rect">
                      <a:avLst/>
                    </a:prstGeom>
                    <a:noFill/>
                    <a:ln>
                      <a:noFill/>
                    </a:ln>
                  </pic:spPr>
                </pic:pic>
              </a:graphicData>
            </a:graphic>
          </wp:inline>
        </w:drawing>
      </w:r>
    </w:p>
    <w:p w14:paraId="4190BB18">
      <w:pPr>
        <w:widowControl/>
        <w:jc w:val="left"/>
        <w:rPr>
          <w:rFonts w:ascii="微软雅黑" w:hAnsi="微软雅黑" w:eastAsia="微软雅黑"/>
          <w:b/>
          <w:bCs/>
          <w:kern w:val="44"/>
          <w:sz w:val="18"/>
          <w:szCs w:val="18"/>
        </w:rPr>
      </w:pPr>
    </w:p>
    <w:p w14:paraId="18954C69">
      <w:pPr>
        <w:widowControl/>
        <w:jc w:val="left"/>
        <w:rPr>
          <w:rFonts w:ascii="微软雅黑" w:hAnsi="微软雅黑" w:eastAsia="微软雅黑"/>
          <w:b/>
          <w:bCs/>
          <w:kern w:val="44"/>
          <w:sz w:val="18"/>
          <w:szCs w:val="18"/>
        </w:rPr>
      </w:pPr>
    </w:p>
    <w:p w14:paraId="6284E802">
      <w:pPr>
        <w:widowControl/>
        <w:jc w:val="left"/>
        <w:rPr>
          <w:rFonts w:ascii="微软雅黑" w:hAnsi="微软雅黑" w:eastAsia="微软雅黑"/>
          <w:b/>
          <w:bCs/>
          <w:kern w:val="44"/>
          <w:sz w:val="18"/>
          <w:szCs w:val="18"/>
        </w:rPr>
      </w:pPr>
    </w:p>
    <w:p w14:paraId="70815866">
      <w:pPr>
        <w:widowControl/>
        <w:jc w:val="left"/>
        <w:rPr>
          <w:rFonts w:ascii="微软雅黑" w:hAnsi="微软雅黑" w:eastAsia="微软雅黑"/>
          <w:b/>
          <w:bCs/>
          <w:kern w:val="44"/>
          <w:sz w:val="18"/>
          <w:szCs w:val="18"/>
        </w:rPr>
      </w:pPr>
    </w:p>
    <w:p w14:paraId="6F875E6F">
      <w:pPr>
        <w:widowControl/>
        <w:jc w:val="left"/>
        <w:rPr>
          <w:rFonts w:ascii="微软雅黑" w:hAnsi="微软雅黑" w:eastAsia="微软雅黑"/>
          <w:b/>
          <w:bCs/>
          <w:kern w:val="44"/>
          <w:sz w:val="18"/>
          <w:szCs w:val="18"/>
        </w:rPr>
      </w:pPr>
    </w:p>
    <w:p w14:paraId="0754DBBA">
      <w:pPr>
        <w:widowControl/>
        <w:jc w:val="left"/>
        <w:rPr>
          <w:rFonts w:ascii="微软雅黑" w:hAnsi="微软雅黑" w:eastAsia="微软雅黑"/>
          <w:b/>
          <w:bCs/>
          <w:kern w:val="44"/>
          <w:sz w:val="18"/>
          <w:szCs w:val="18"/>
        </w:rPr>
      </w:pPr>
    </w:p>
    <w:p w14:paraId="7A8572C4">
      <w:pPr>
        <w:jc w:val="center"/>
        <w:outlineLvl w:val="0"/>
        <w:rPr>
          <w:rFonts w:hint="eastAsia" w:ascii="黑体" w:hAnsi="黑体" w:eastAsia="黑体" w:cs="Arial"/>
          <w:bCs/>
          <w:sz w:val="72"/>
          <w:szCs w:val="72"/>
        </w:rPr>
      </w:pPr>
      <w:r>
        <w:rPr>
          <w:rFonts w:hint="eastAsia" w:ascii="黑体" w:hAnsi="黑体" w:eastAsia="黑体" w:cs="Arial"/>
          <w:bCs/>
          <w:sz w:val="72"/>
          <w:szCs w:val="72"/>
        </w:rPr>
        <w:t xml:space="preserve">  </w:t>
      </w:r>
      <w:bookmarkStart w:id="0" w:name="_Toc13007"/>
      <w:r>
        <w:rPr>
          <w:rFonts w:hint="eastAsia" w:ascii="黑体" w:hAnsi="黑体" w:eastAsia="黑体" w:cs="Arial"/>
          <w:bCs/>
          <w:sz w:val="72"/>
          <w:szCs w:val="72"/>
        </w:rPr>
        <w:t>DDL次数过多导致</w:t>
      </w:r>
      <w:bookmarkEnd w:id="0"/>
    </w:p>
    <w:p w14:paraId="0E39C152">
      <w:pPr>
        <w:jc w:val="center"/>
        <w:outlineLvl w:val="0"/>
        <w:rPr>
          <w:rFonts w:ascii="黑体" w:hAnsi="黑体" w:eastAsia="黑体" w:cs="Arial"/>
          <w:bCs/>
          <w:sz w:val="72"/>
          <w:szCs w:val="72"/>
        </w:rPr>
      </w:pPr>
      <w:bookmarkStart w:id="1" w:name="_Toc423"/>
      <w:r>
        <w:rPr>
          <w:rFonts w:hint="eastAsia" w:ascii="黑体" w:hAnsi="黑体" w:eastAsia="黑体" w:cs="Arial"/>
          <w:bCs/>
          <w:sz w:val="72"/>
          <w:szCs w:val="72"/>
        </w:rPr>
        <w:t>OMS抽取进程卡主问题SOP</w:t>
      </w:r>
      <w:bookmarkEnd w:id="1"/>
    </w:p>
    <w:p w14:paraId="5F2C887B">
      <w:pPr>
        <w:ind w:firstLine="600"/>
        <w:jc w:val="center"/>
        <w:rPr>
          <w:rFonts w:ascii="黑体" w:hAnsi="黑体" w:eastAsia="黑体" w:cs="Arial"/>
          <w:bCs/>
          <w:sz w:val="30"/>
          <w:szCs w:val="30"/>
        </w:rPr>
      </w:pPr>
      <w:r>
        <w:rPr>
          <w:rFonts w:hint="eastAsia" w:ascii="黑体" w:hAnsi="黑体" w:eastAsia="黑体" w:cs="Arial"/>
          <w:bCs/>
          <w:sz w:val="30"/>
          <w:szCs w:val="30"/>
        </w:rPr>
        <w:t>（V1</w:t>
      </w:r>
      <w:r>
        <w:rPr>
          <w:rFonts w:ascii="黑体" w:hAnsi="黑体" w:eastAsia="黑体" w:cs="Arial"/>
          <w:bCs/>
          <w:sz w:val="30"/>
          <w:szCs w:val="30"/>
        </w:rPr>
        <w:t>.</w:t>
      </w:r>
      <w:r>
        <w:rPr>
          <w:rFonts w:hint="eastAsia" w:ascii="黑体" w:hAnsi="黑体" w:eastAsia="黑体" w:cs="Arial"/>
          <w:bCs/>
          <w:sz w:val="30"/>
          <w:szCs w:val="30"/>
        </w:rPr>
        <w:t>0）</w:t>
      </w:r>
    </w:p>
    <w:p w14:paraId="7145D8B6">
      <w:pPr>
        <w:ind w:firstLine="79" w:firstLineChars="38"/>
        <w:jc w:val="center"/>
        <w:rPr>
          <w:rFonts w:ascii="宋体" w:hAnsi="宋体"/>
          <w:i/>
          <w:color w:val="1F4E79"/>
        </w:rPr>
      </w:pPr>
    </w:p>
    <w:p w14:paraId="3C49A10C">
      <w:pPr>
        <w:ind w:firstLine="79" w:firstLineChars="38"/>
        <w:jc w:val="center"/>
        <w:rPr>
          <w:rFonts w:ascii="宋体" w:hAnsi="宋体"/>
          <w:i/>
          <w:color w:val="1F4E79"/>
        </w:rPr>
      </w:pPr>
    </w:p>
    <w:p w14:paraId="4E033C04">
      <w:pPr>
        <w:ind w:firstLine="480"/>
        <w:jc w:val="center"/>
        <w:rPr>
          <w:rFonts w:ascii="宋体" w:hAnsi="宋体"/>
          <w:szCs w:val="21"/>
        </w:rPr>
      </w:pPr>
    </w:p>
    <w:p w14:paraId="6F803C0D">
      <w:pPr>
        <w:ind w:firstLine="480"/>
        <w:jc w:val="center"/>
        <w:rPr>
          <w:rFonts w:ascii="宋体" w:hAnsi="宋体"/>
          <w:szCs w:val="21"/>
        </w:rPr>
      </w:pPr>
    </w:p>
    <w:p w14:paraId="1680B1BF">
      <w:pPr>
        <w:ind w:firstLine="480"/>
        <w:jc w:val="center"/>
        <w:rPr>
          <w:rFonts w:ascii="宋体" w:hAnsi="宋体"/>
          <w:szCs w:val="21"/>
        </w:rPr>
      </w:pPr>
    </w:p>
    <w:p w14:paraId="6309A1B8">
      <w:pPr>
        <w:ind w:firstLine="480"/>
        <w:jc w:val="center"/>
        <w:rPr>
          <w:rFonts w:ascii="宋体" w:hAnsi="宋体"/>
          <w:szCs w:val="21"/>
        </w:rPr>
      </w:pPr>
    </w:p>
    <w:p w14:paraId="2DEA46B1">
      <w:pPr>
        <w:ind w:firstLine="480"/>
        <w:jc w:val="center"/>
        <w:rPr>
          <w:rFonts w:ascii="宋体" w:hAnsi="宋体"/>
          <w:szCs w:val="21"/>
        </w:rPr>
      </w:pPr>
    </w:p>
    <w:p w14:paraId="49D8048D">
      <w:pPr>
        <w:ind w:firstLine="480"/>
        <w:jc w:val="center"/>
        <w:rPr>
          <w:rFonts w:ascii="宋体" w:hAnsi="宋体"/>
          <w:szCs w:val="21"/>
        </w:rPr>
      </w:pPr>
    </w:p>
    <w:p w14:paraId="58A830AB">
      <w:pPr>
        <w:ind w:firstLine="602"/>
        <w:rPr>
          <w:rFonts w:ascii="宋体" w:hAnsi="宋体"/>
          <w:b/>
          <w:sz w:val="30"/>
          <w:szCs w:val="30"/>
        </w:rPr>
      </w:pPr>
    </w:p>
    <w:p w14:paraId="40E4896F">
      <w:pPr>
        <w:ind w:firstLine="643"/>
        <w:jc w:val="center"/>
        <w:rPr>
          <w:rFonts w:ascii="黑体" w:hAnsi="黑体" w:eastAsia="黑体" w:cs="Arial"/>
          <w:b/>
          <w:bCs/>
          <w:color w:val="000000"/>
          <w:kern w:val="32"/>
          <w:sz w:val="32"/>
          <w:szCs w:val="32"/>
        </w:rPr>
      </w:pPr>
      <w:r>
        <w:rPr>
          <w:rFonts w:hint="eastAsia" w:ascii="黑体" w:hAnsi="黑体" w:eastAsia="黑体" w:cs="Arial"/>
          <w:b/>
          <w:bCs/>
          <w:color w:val="000000"/>
          <w:kern w:val="32"/>
          <w:sz w:val="32"/>
          <w:szCs w:val="32"/>
        </w:rPr>
        <w:t>国家体育总局体育彩票管理中心</w:t>
      </w:r>
    </w:p>
    <w:p w14:paraId="42C30C11">
      <w:pPr>
        <w:ind w:left="3360" w:firstLine="643"/>
        <w:rPr>
          <w:rFonts w:ascii="黑体" w:hAnsi="黑体" w:eastAsia="黑体"/>
          <w:b/>
          <w:sz w:val="32"/>
          <w:szCs w:val="32"/>
        </w:rPr>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425" w:num="1"/>
          <w:titlePg/>
          <w:docGrid w:type="lines" w:linePitch="326" w:charSpace="0"/>
        </w:sectPr>
      </w:pPr>
      <w:r>
        <w:drawing>
          <wp:anchor distT="0" distB="0" distL="114300" distR="114300" simplePos="0" relativeHeight="251659264" behindDoc="0" locked="0" layoutInCell="1" allowOverlap="1">
            <wp:simplePos x="0" y="0"/>
            <wp:positionH relativeFrom="margin">
              <wp:align>center</wp:align>
            </wp:positionH>
            <wp:positionV relativeFrom="paragraph">
              <wp:posOffset>1238250</wp:posOffset>
            </wp:positionV>
            <wp:extent cx="5743575" cy="849630"/>
            <wp:effectExtent l="0" t="0" r="9525" b="762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43575" cy="849630"/>
                    </a:xfrm>
                    <a:prstGeom prst="rect">
                      <a:avLst/>
                    </a:prstGeom>
                    <a:noFill/>
                    <a:ln>
                      <a:noFill/>
                    </a:ln>
                  </pic:spPr>
                </pic:pic>
              </a:graphicData>
            </a:graphic>
          </wp:anchor>
        </w:drawing>
      </w:r>
    </w:p>
    <w:p w14:paraId="1A7F4EB7">
      <w:pPr>
        <w:pStyle w:val="2"/>
      </w:pPr>
      <w:bookmarkStart w:id="2" w:name="_Toc15047"/>
      <w:r>
        <w:rPr>
          <w:rFonts w:hint="eastAsia"/>
        </w:rPr>
        <w:t>【应急预案编制要求】</w:t>
      </w:r>
      <w:bookmarkEnd w:id="2"/>
    </w:p>
    <w:p w14:paraId="177960DC">
      <w:pPr>
        <w:pStyle w:val="9"/>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应急预案应以故障发生后快速恢复业务，尽最大可能降低故障对业务的影响为原则。</w:t>
      </w:r>
    </w:p>
    <w:p w14:paraId="0657EEFA">
      <w:pPr>
        <w:pStyle w:val="9"/>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应急预案的触发条件要明确清晰，不能出现模糊的描述，应急预案的触发条件可以是错误码、关键字或者明确的监控告警。</w:t>
      </w:r>
    </w:p>
    <w:p w14:paraId="6474B4EF">
      <w:pPr>
        <w:pStyle w:val="9"/>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要明确执行应急预案所需的时间及业务恢复所需的时间。</w:t>
      </w:r>
    </w:p>
    <w:p w14:paraId="52C72195">
      <w:pPr>
        <w:pStyle w:val="9"/>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 xml:space="preserve">应急预案中要明确的故障对业务产生的影响，要明确执行应急预案是否又触发因执行应急预案所产生的次生业务影响，对于执行应急预案后如果对业务产生了变化，业务部门是否可以接受此影响。 </w:t>
      </w:r>
    </w:p>
    <w:p w14:paraId="70457092">
      <w:pPr>
        <w:pStyle w:val="9"/>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应急预案的操作步骤要具备可操作的脚本或者工具来保证应急预案的有效执行，不应逐台登录故障服务器，逐行命令去执行应急预案。</w:t>
      </w:r>
    </w:p>
    <w:p w14:paraId="5E82959B">
      <w:pPr>
        <w:pStyle w:val="9"/>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应急预案编写完成后要经过测试。</w:t>
      </w:r>
    </w:p>
    <w:p w14:paraId="12473FB0">
      <w:pPr>
        <w:pStyle w:val="9"/>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应急预案执行后，要有可以验证的方案来判断应急预案的执行效果，系统是否已经可以符合处置预期的提供服务。</w:t>
      </w:r>
    </w:p>
    <w:p w14:paraId="38C38612"/>
    <w:p w14:paraId="24FE85FC">
      <w:pPr>
        <w:widowControl/>
        <w:jc w:val="left"/>
      </w:pPr>
      <w:r>
        <w:br w:type="page"/>
      </w:r>
    </w:p>
    <w:p w14:paraId="701C3D49">
      <w:pPr>
        <w:widowControl/>
        <w:jc w:val="left"/>
        <w:rPr>
          <w:rFonts w:ascii="微软雅黑" w:hAnsi="微软雅黑" w:eastAsia="微软雅黑"/>
          <w:b/>
          <w:bCs/>
          <w:kern w:val="44"/>
          <w:sz w:val="18"/>
          <w:szCs w:val="18"/>
        </w:rPr>
      </w:pPr>
    </w:p>
    <w:sdt>
      <w:sdtPr>
        <w:rPr>
          <w:rFonts w:ascii="宋体" w:hAnsi="宋体" w:eastAsia="宋体"/>
        </w:rPr>
        <w:id w:val="147453520"/>
        <w15:color w:val="DBDBDB"/>
        <w:docPartObj>
          <w:docPartGallery w:val="Table of Contents"/>
          <w:docPartUnique/>
        </w:docPartObj>
      </w:sdtPr>
      <w:sdtEndPr>
        <w:rPr>
          <w:rFonts w:ascii="宋体" w:hAnsi="宋体" w:eastAsia="宋体"/>
          <w:b/>
        </w:rPr>
      </w:sdtEndPr>
      <w:sdtContent>
        <w:p w14:paraId="6627EC97">
          <w:pPr>
            <w:jc w:val="center"/>
          </w:pPr>
          <w:r>
            <w:rPr>
              <w:rFonts w:ascii="宋体" w:hAnsi="宋体" w:eastAsia="宋体"/>
            </w:rPr>
            <w:t>目录</w:t>
          </w:r>
        </w:p>
        <w:p w14:paraId="3AB0F0AB">
          <w:pPr>
            <w:pStyle w:val="5"/>
            <w:tabs>
              <w:tab w:val="right" w:leader="dot" w:pos="8306"/>
            </w:tabs>
          </w:pPr>
          <w:r>
            <w:fldChar w:fldCharType="begin"/>
          </w:r>
          <w:r>
            <w:instrText xml:space="preserve">TOC \o "1-2" \h \u </w:instrText>
          </w:r>
          <w:r>
            <w:fldChar w:fldCharType="separate"/>
          </w:r>
          <w:r>
            <w:fldChar w:fldCharType="begin"/>
          </w:r>
          <w:r>
            <w:instrText xml:space="preserve"> HYPERLINK \l _Toc13007 </w:instrText>
          </w:r>
          <w:r>
            <w:fldChar w:fldCharType="separate"/>
          </w:r>
          <w:r>
            <w:rPr>
              <w:rFonts w:hint="eastAsia" w:ascii="黑体" w:hAnsi="黑体" w:eastAsia="黑体" w:cs="Arial"/>
              <w:bCs/>
              <w:szCs w:val="72"/>
            </w:rPr>
            <w:t>DDL次数过多导致</w:t>
          </w:r>
          <w:r>
            <w:tab/>
          </w:r>
          <w:r>
            <w:fldChar w:fldCharType="begin"/>
          </w:r>
          <w:r>
            <w:instrText xml:space="preserve"> PAGEREF _Toc13007 \h </w:instrText>
          </w:r>
          <w:r>
            <w:fldChar w:fldCharType="separate"/>
          </w:r>
          <w:r>
            <w:t>1</w:t>
          </w:r>
          <w:r>
            <w:fldChar w:fldCharType="end"/>
          </w:r>
          <w:r>
            <w:fldChar w:fldCharType="end"/>
          </w:r>
        </w:p>
        <w:p w14:paraId="110FD797">
          <w:pPr>
            <w:pStyle w:val="5"/>
            <w:tabs>
              <w:tab w:val="right" w:leader="dot" w:pos="8306"/>
            </w:tabs>
          </w:pPr>
          <w:r>
            <w:fldChar w:fldCharType="begin"/>
          </w:r>
          <w:r>
            <w:instrText xml:space="preserve"> HYPERLINK \l _Toc423 </w:instrText>
          </w:r>
          <w:r>
            <w:fldChar w:fldCharType="separate"/>
          </w:r>
          <w:r>
            <w:rPr>
              <w:rFonts w:hint="eastAsia" w:ascii="黑体" w:hAnsi="黑体" w:eastAsia="黑体" w:cs="Arial"/>
              <w:bCs/>
              <w:szCs w:val="72"/>
            </w:rPr>
            <w:t>OMS抽取进程卡主问题SOP</w:t>
          </w:r>
          <w:r>
            <w:tab/>
          </w:r>
          <w:r>
            <w:fldChar w:fldCharType="begin"/>
          </w:r>
          <w:r>
            <w:instrText xml:space="preserve"> PAGEREF _Toc423 \h </w:instrText>
          </w:r>
          <w:r>
            <w:fldChar w:fldCharType="separate"/>
          </w:r>
          <w:r>
            <w:t>1</w:t>
          </w:r>
          <w:r>
            <w:fldChar w:fldCharType="end"/>
          </w:r>
          <w:r>
            <w:fldChar w:fldCharType="end"/>
          </w:r>
        </w:p>
        <w:p w14:paraId="621FB4F4">
          <w:pPr>
            <w:pStyle w:val="6"/>
            <w:tabs>
              <w:tab w:val="right" w:leader="dot" w:pos="8306"/>
            </w:tabs>
          </w:pPr>
          <w:r>
            <w:fldChar w:fldCharType="begin"/>
          </w:r>
          <w:r>
            <w:instrText xml:space="preserve"> HYPERLINK \l _Toc15047 </w:instrText>
          </w:r>
          <w:r>
            <w:fldChar w:fldCharType="separate"/>
          </w:r>
          <w:r>
            <w:rPr>
              <w:rFonts w:hint="eastAsia"/>
            </w:rPr>
            <w:t>【应急预案编制要求】</w:t>
          </w:r>
          <w:r>
            <w:tab/>
          </w:r>
          <w:r>
            <w:fldChar w:fldCharType="begin"/>
          </w:r>
          <w:r>
            <w:instrText xml:space="preserve"> PAGEREF _Toc15047 \h </w:instrText>
          </w:r>
          <w:r>
            <w:fldChar w:fldCharType="separate"/>
          </w:r>
          <w:r>
            <w:t>2</w:t>
          </w:r>
          <w:r>
            <w:fldChar w:fldCharType="end"/>
          </w:r>
          <w:r>
            <w:fldChar w:fldCharType="end"/>
          </w:r>
        </w:p>
        <w:p w14:paraId="64891876">
          <w:pPr>
            <w:pStyle w:val="6"/>
            <w:tabs>
              <w:tab w:val="right" w:leader="dot" w:pos="8306"/>
            </w:tabs>
          </w:pPr>
          <w:r>
            <w:fldChar w:fldCharType="begin"/>
          </w:r>
          <w:r>
            <w:instrText xml:space="preserve"> HYPERLINK \l _Toc3292 </w:instrText>
          </w:r>
          <w:r>
            <w:fldChar w:fldCharType="separate"/>
          </w:r>
          <w:r>
            <w:rPr>
              <w:rFonts w:hint="eastAsia"/>
            </w:rPr>
            <w:t>【适用场景】</w:t>
          </w:r>
          <w:r>
            <w:tab/>
          </w:r>
          <w:r>
            <w:fldChar w:fldCharType="begin"/>
          </w:r>
          <w:r>
            <w:instrText xml:space="preserve"> PAGEREF _Toc3292 \h </w:instrText>
          </w:r>
          <w:r>
            <w:fldChar w:fldCharType="separate"/>
          </w:r>
          <w:r>
            <w:t>4</w:t>
          </w:r>
          <w:r>
            <w:fldChar w:fldCharType="end"/>
          </w:r>
          <w:r>
            <w:fldChar w:fldCharType="end"/>
          </w:r>
        </w:p>
        <w:p w14:paraId="4F9F033B">
          <w:pPr>
            <w:pStyle w:val="6"/>
            <w:tabs>
              <w:tab w:val="right" w:leader="dot" w:pos="8306"/>
            </w:tabs>
          </w:pPr>
          <w:r>
            <w:fldChar w:fldCharType="begin"/>
          </w:r>
          <w:r>
            <w:instrText xml:space="preserve"> HYPERLINK \l _Toc4845 </w:instrText>
          </w:r>
          <w:r>
            <w:fldChar w:fldCharType="separate"/>
          </w:r>
          <w:r>
            <w:rPr>
              <w:rFonts w:hint="eastAsia"/>
            </w:rPr>
            <w:t>【预计时间】</w:t>
          </w:r>
          <w:r>
            <w:tab/>
          </w:r>
          <w:r>
            <w:fldChar w:fldCharType="begin"/>
          </w:r>
          <w:r>
            <w:instrText xml:space="preserve"> PAGEREF _Toc4845 \h </w:instrText>
          </w:r>
          <w:r>
            <w:fldChar w:fldCharType="separate"/>
          </w:r>
          <w:r>
            <w:t>4</w:t>
          </w:r>
          <w:r>
            <w:fldChar w:fldCharType="end"/>
          </w:r>
          <w:r>
            <w:fldChar w:fldCharType="end"/>
          </w:r>
        </w:p>
        <w:p w14:paraId="39D77DE4">
          <w:pPr>
            <w:pStyle w:val="6"/>
            <w:tabs>
              <w:tab w:val="right" w:leader="dot" w:pos="8306"/>
            </w:tabs>
          </w:pPr>
          <w:r>
            <w:fldChar w:fldCharType="begin"/>
          </w:r>
          <w:r>
            <w:instrText xml:space="preserve"> HYPERLINK \l _Toc28091 </w:instrText>
          </w:r>
          <w:r>
            <w:fldChar w:fldCharType="separate"/>
          </w:r>
          <w:r>
            <w:rPr>
              <w:rFonts w:hint="eastAsia"/>
            </w:rPr>
            <w:t>【业务影响】</w:t>
          </w:r>
          <w:r>
            <w:tab/>
          </w:r>
          <w:r>
            <w:fldChar w:fldCharType="begin"/>
          </w:r>
          <w:r>
            <w:instrText xml:space="preserve"> PAGEREF _Toc28091 \h </w:instrText>
          </w:r>
          <w:r>
            <w:fldChar w:fldCharType="separate"/>
          </w:r>
          <w:r>
            <w:t>4</w:t>
          </w:r>
          <w:r>
            <w:fldChar w:fldCharType="end"/>
          </w:r>
          <w:r>
            <w:fldChar w:fldCharType="end"/>
          </w:r>
        </w:p>
        <w:p w14:paraId="2EB78E6C">
          <w:pPr>
            <w:pStyle w:val="6"/>
            <w:tabs>
              <w:tab w:val="right" w:leader="dot" w:pos="8306"/>
            </w:tabs>
          </w:pPr>
          <w:r>
            <w:fldChar w:fldCharType="begin"/>
          </w:r>
          <w:r>
            <w:instrText xml:space="preserve"> HYPERLINK \l _Toc12414 </w:instrText>
          </w:r>
          <w:r>
            <w:fldChar w:fldCharType="separate"/>
          </w:r>
          <w:r>
            <w:rPr>
              <w:rFonts w:hint="eastAsia"/>
            </w:rPr>
            <w:t>【操作步骤】</w:t>
          </w:r>
          <w:r>
            <w:tab/>
          </w:r>
          <w:r>
            <w:fldChar w:fldCharType="begin"/>
          </w:r>
          <w:r>
            <w:instrText xml:space="preserve"> PAGEREF _Toc12414 \h </w:instrText>
          </w:r>
          <w:r>
            <w:fldChar w:fldCharType="separate"/>
          </w:r>
          <w:r>
            <w:t>4</w:t>
          </w:r>
          <w:r>
            <w:fldChar w:fldCharType="end"/>
          </w:r>
          <w:r>
            <w:fldChar w:fldCharType="end"/>
          </w:r>
        </w:p>
        <w:p w14:paraId="2C3972F8">
          <w:r>
            <w:fldChar w:fldCharType="end"/>
          </w:r>
        </w:p>
      </w:sdtContent>
    </w:sdt>
    <w:p w14:paraId="32A45C75">
      <w:pPr>
        <w:widowControl/>
        <w:jc w:val="left"/>
        <w:rPr>
          <w:rFonts w:asciiTheme="majorHAnsi" w:hAnsiTheme="majorHAnsi" w:eastAsiaTheme="majorEastAsia" w:cstheme="majorBidi"/>
          <w:b/>
          <w:bCs/>
          <w:sz w:val="32"/>
          <w:szCs w:val="32"/>
        </w:rPr>
      </w:pPr>
      <w:r>
        <w:br w:type="page"/>
      </w:r>
      <w:bookmarkStart w:id="7" w:name="_GoBack"/>
      <w:bookmarkEnd w:id="7"/>
    </w:p>
    <w:p w14:paraId="47145698"/>
    <w:tbl>
      <w:tblPr>
        <w:tblStyle w:val="7"/>
        <w:tblW w:w="8449"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1276"/>
        <w:gridCol w:w="936"/>
        <w:gridCol w:w="5528"/>
      </w:tblGrid>
      <w:tr w14:paraId="3D429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709" w:type="dxa"/>
          </w:tcPr>
          <w:p w14:paraId="4891F9E7">
            <w:r>
              <w:rPr>
                <w:rFonts w:hint="eastAsia"/>
              </w:rPr>
              <w:t>序号</w:t>
            </w:r>
          </w:p>
        </w:tc>
        <w:tc>
          <w:tcPr>
            <w:tcW w:w="1276" w:type="dxa"/>
          </w:tcPr>
          <w:p w14:paraId="5C670604">
            <w:r>
              <w:rPr>
                <w:rFonts w:hint="eastAsia"/>
              </w:rPr>
              <w:t>变更日期</w:t>
            </w:r>
          </w:p>
        </w:tc>
        <w:tc>
          <w:tcPr>
            <w:tcW w:w="936" w:type="dxa"/>
          </w:tcPr>
          <w:p w14:paraId="66E7CFA8">
            <w:r>
              <w:rPr>
                <w:rFonts w:hint="eastAsia"/>
              </w:rPr>
              <w:t>变更人</w:t>
            </w:r>
          </w:p>
        </w:tc>
        <w:tc>
          <w:tcPr>
            <w:tcW w:w="5528" w:type="dxa"/>
          </w:tcPr>
          <w:p w14:paraId="75E8C808">
            <w:r>
              <w:rPr>
                <w:rFonts w:hint="eastAsia"/>
              </w:rPr>
              <w:t>变更说明</w:t>
            </w:r>
          </w:p>
        </w:tc>
      </w:tr>
      <w:tr w14:paraId="036E1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4" w:hRule="atLeast"/>
        </w:trPr>
        <w:tc>
          <w:tcPr>
            <w:tcW w:w="709" w:type="dxa"/>
          </w:tcPr>
          <w:p w14:paraId="4A14D6DF">
            <w:r>
              <w:rPr>
                <w:rFonts w:hint="eastAsia"/>
              </w:rPr>
              <w:t>1</w:t>
            </w:r>
          </w:p>
        </w:tc>
        <w:tc>
          <w:tcPr>
            <w:tcW w:w="1276" w:type="dxa"/>
          </w:tcPr>
          <w:p w14:paraId="189A0E8C">
            <w:pPr>
              <w:rPr>
                <w:rFonts w:hint="default" w:eastAsiaTheme="minorEastAsia"/>
                <w:lang w:val="en-US" w:eastAsia="zh-CN"/>
              </w:rPr>
            </w:pPr>
            <w:r>
              <w:rPr>
                <w:rFonts w:hint="eastAsia"/>
              </w:rPr>
              <w:t>202</w:t>
            </w:r>
            <w:r>
              <w:rPr>
                <w:rFonts w:hint="eastAsia"/>
                <w:lang w:val="en-US" w:eastAsia="zh-CN"/>
              </w:rPr>
              <w:t>4</w:t>
            </w:r>
            <w:r>
              <w:rPr>
                <w:rFonts w:hint="eastAsia"/>
              </w:rPr>
              <w:t>-0</w:t>
            </w:r>
            <w:r>
              <w:rPr>
                <w:rFonts w:hint="eastAsia"/>
                <w:lang w:val="en-US" w:eastAsia="zh-CN"/>
              </w:rPr>
              <w:t>3</w:t>
            </w:r>
            <w:r>
              <w:rPr>
                <w:rFonts w:hint="eastAsia"/>
              </w:rPr>
              <w:t>-</w:t>
            </w:r>
            <w:r>
              <w:rPr>
                <w:rFonts w:hint="eastAsia"/>
                <w:lang w:val="en-US" w:eastAsia="zh-CN"/>
              </w:rPr>
              <w:t>15</w:t>
            </w:r>
          </w:p>
        </w:tc>
        <w:tc>
          <w:tcPr>
            <w:tcW w:w="936" w:type="dxa"/>
          </w:tcPr>
          <w:p w14:paraId="1BF3AB21">
            <w:pPr>
              <w:rPr>
                <w:rFonts w:hint="eastAsia" w:eastAsiaTheme="minorEastAsia"/>
                <w:lang w:val="en-US" w:eastAsia="zh-CN"/>
              </w:rPr>
            </w:pPr>
            <w:r>
              <w:rPr>
                <w:rFonts w:hint="eastAsia"/>
                <w:lang w:val="en-US" w:eastAsia="zh-CN"/>
              </w:rPr>
              <w:t>孔维鑫</w:t>
            </w:r>
          </w:p>
        </w:tc>
        <w:tc>
          <w:tcPr>
            <w:tcW w:w="5528" w:type="dxa"/>
          </w:tcPr>
          <w:p w14:paraId="7F567297">
            <w:r>
              <w:rPr>
                <w:rFonts w:hint="eastAsia"/>
              </w:rPr>
              <w:t>创建文档</w:t>
            </w:r>
          </w:p>
        </w:tc>
      </w:tr>
      <w:tr w14:paraId="7C105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4" w:hRule="atLeast"/>
        </w:trPr>
        <w:tc>
          <w:tcPr>
            <w:tcW w:w="709" w:type="dxa"/>
          </w:tcPr>
          <w:p w14:paraId="0BC4669E">
            <w:pPr>
              <w:rPr>
                <w:rFonts w:hint="eastAsia" w:eastAsiaTheme="minorEastAsia"/>
                <w:lang w:val="en-US" w:eastAsia="zh-CN"/>
              </w:rPr>
            </w:pPr>
            <w:r>
              <w:rPr>
                <w:rFonts w:hint="eastAsia"/>
                <w:lang w:val="en-US" w:eastAsia="zh-CN"/>
              </w:rPr>
              <w:t>2</w:t>
            </w:r>
          </w:p>
        </w:tc>
        <w:tc>
          <w:tcPr>
            <w:tcW w:w="1276" w:type="dxa"/>
          </w:tcPr>
          <w:p w14:paraId="3D7E6C26">
            <w:r>
              <w:rPr>
                <w:rFonts w:hint="eastAsia"/>
              </w:rPr>
              <w:t>202</w:t>
            </w:r>
            <w:r>
              <w:rPr>
                <w:rFonts w:hint="eastAsia"/>
                <w:lang w:val="en-US" w:eastAsia="zh-CN"/>
              </w:rPr>
              <w:t>5</w:t>
            </w:r>
            <w:r>
              <w:rPr>
                <w:rFonts w:hint="eastAsia"/>
              </w:rPr>
              <w:t>-0</w:t>
            </w:r>
            <w:r>
              <w:rPr>
                <w:rFonts w:hint="eastAsia"/>
                <w:lang w:val="en-US" w:eastAsia="zh-CN"/>
              </w:rPr>
              <w:t>8</w:t>
            </w:r>
            <w:r>
              <w:rPr>
                <w:rFonts w:hint="eastAsia"/>
              </w:rPr>
              <w:t>-</w:t>
            </w:r>
            <w:r>
              <w:rPr>
                <w:rFonts w:hint="eastAsia"/>
                <w:lang w:val="en-US" w:eastAsia="zh-CN"/>
              </w:rPr>
              <w:t>25</w:t>
            </w:r>
          </w:p>
        </w:tc>
        <w:tc>
          <w:tcPr>
            <w:tcW w:w="936" w:type="dxa"/>
          </w:tcPr>
          <w:p w14:paraId="2E86F3A2">
            <w:pPr>
              <w:rPr>
                <w:rFonts w:hint="default" w:eastAsiaTheme="minorEastAsia"/>
                <w:lang w:val="en-US" w:eastAsia="zh-CN"/>
              </w:rPr>
            </w:pPr>
            <w:r>
              <w:rPr>
                <w:rFonts w:hint="eastAsia"/>
                <w:lang w:val="en-US" w:eastAsia="zh-CN"/>
              </w:rPr>
              <w:t>林丰义</w:t>
            </w:r>
          </w:p>
        </w:tc>
        <w:tc>
          <w:tcPr>
            <w:tcW w:w="5528" w:type="dxa"/>
          </w:tcPr>
          <w:p w14:paraId="10674B99">
            <w:pPr>
              <w:rPr>
                <w:rFonts w:hint="default" w:eastAsiaTheme="minorEastAsia"/>
                <w:lang w:val="en-US" w:eastAsia="zh-CN"/>
              </w:rPr>
            </w:pPr>
            <w:r>
              <w:rPr>
                <w:rFonts w:hint="eastAsia"/>
                <w:lang w:val="en-US" w:eastAsia="zh-CN"/>
              </w:rPr>
              <w:t>调整文档格式</w:t>
            </w:r>
          </w:p>
        </w:tc>
      </w:tr>
      <w:tr w14:paraId="1B7C4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4" w:hRule="atLeast"/>
        </w:trPr>
        <w:tc>
          <w:tcPr>
            <w:tcW w:w="709" w:type="dxa"/>
          </w:tcPr>
          <w:p w14:paraId="25E872DD"/>
        </w:tc>
        <w:tc>
          <w:tcPr>
            <w:tcW w:w="1276" w:type="dxa"/>
          </w:tcPr>
          <w:p w14:paraId="4220E316"/>
        </w:tc>
        <w:tc>
          <w:tcPr>
            <w:tcW w:w="936" w:type="dxa"/>
          </w:tcPr>
          <w:p w14:paraId="08EC3CE7"/>
        </w:tc>
        <w:tc>
          <w:tcPr>
            <w:tcW w:w="5528" w:type="dxa"/>
          </w:tcPr>
          <w:p w14:paraId="38D93895"/>
        </w:tc>
      </w:tr>
    </w:tbl>
    <w:p w14:paraId="179F8A68"/>
    <w:p w14:paraId="307D2592">
      <w:pPr>
        <w:pStyle w:val="2"/>
      </w:pPr>
      <w:bookmarkStart w:id="3" w:name="_Toc3292"/>
      <w:r>
        <w:rPr>
          <w:rFonts w:hint="eastAsia"/>
        </w:rPr>
        <w:t>【适用场景】</w:t>
      </w:r>
      <w:bookmarkEnd w:id="3"/>
    </w:p>
    <w:p w14:paraId="54E8BE12">
      <w:pPr>
        <w:widowControl/>
        <w:ind w:firstLine="420"/>
        <w:rPr>
          <w:rFonts w:hint="eastAsia"/>
          <w:lang w:eastAsia="zh-CN"/>
        </w:rPr>
      </w:pPr>
      <w:r>
        <w:rPr>
          <w:rFonts w:hint="eastAsia"/>
          <w:color w:val="000000" w:themeColor="text1"/>
          <w14:textFill>
            <w14:solidFill>
              <w14:schemeClr w14:val="tx1"/>
            </w14:solidFill>
          </w14:textFill>
        </w:rPr>
        <w:t>适用于</w:t>
      </w:r>
      <w:r>
        <w:t>lg_lgm_01_lgmdb_to_dp_lg_lgmdb</w:t>
      </w:r>
      <w:r>
        <w:rPr>
          <w:rFonts w:hint="eastAsia"/>
          <w:lang w:val="en-US" w:eastAsia="zh-CN"/>
        </w:rPr>
        <w:t>等乐透类</w:t>
      </w:r>
      <w:r>
        <w:t>迁移项目同步延时oms_migration_delay</w:t>
      </w:r>
      <w:r>
        <w:rPr>
          <w:rFonts w:hint="eastAsia"/>
          <w:lang w:eastAsia="zh-CN"/>
        </w:rPr>
        <w:t>，</w:t>
      </w:r>
    </w:p>
    <w:p w14:paraId="10F5C023">
      <w:pPr>
        <w:widowControl/>
        <w:rPr>
          <w:rFonts w:hint="default"/>
          <w:lang w:val="en-US" w:eastAsia="zh-CN"/>
        </w:rPr>
      </w:pPr>
      <w:r>
        <w:rPr>
          <w:rFonts w:hint="eastAsia"/>
          <w:lang w:val="en-US" w:eastAsia="zh-CN"/>
        </w:rPr>
        <w:t>具体类似告警信息如下：</w:t>
      </w:r>
    </w:p>
    <w:p w14:paraId="72AD1192">
      <w:r>
        <w:t xml:space="preserve">[OceanBase] np_4pcl1wuwwzts OCP告警通知-多条告警 - 名称：oms_migration_delay:迁移项目延时 - 级别：警告 - 告警数量：1 - 聚合分组：oms_migration_delay:3 - 告警对象：np_4pcl1wuwwzts 生成时间：2024-03-14T06:31:34+08:00 概述：np_4pcl1wuwwzts 迁移项目 lg_lgm_01_lgmdb_to_dp_lg_lgmdb 增量同步 延时。 详情：np_4pcl1wuwwzts </w:t>
      </w:r>
      <w:r>
        <w:rPr>
          <w:rFonts w:hint="eastAsia"/>
        </w:rPr>
        <w:t>迁移项目</w:t>
      </w:r>
      <w:r>
        <w:t xml:space="preserve"> lg_lgm_01_lgmdb_to_dp_lg_lgmdb 增量同步 延时. 延迟时间: 10187 秒 （10 秒前更新）。; 详情查看链接: 待实现</w:t>
      </w:r>
    </w:p>
    <w:p w14:paraId="0FBB1209">
      <w:pPr>
        <w:widowControl/>
        <w:ind w:firstLine="420"/>
        <w:rPr>
          <w:rFonts w:hint="eastAsia"/>
          <w:lang w:eastAsia="zh-CN"/>
        </w:rPr>
      </w:pPr>
    </w:p>
    <w:p w14:paraId="6681E555">
      <w:pPr>
        <w:pStyle w:val="2"/>
      </w:pPr>
      <w:bookmarkStart w:id="4" w:name="_Toc4845"/>
      <w:r>
        <w:rPr>
          <w:rFonts w:hint="eastAsia"/>
        </w:rPr>
        <w:t>【预计时间】</w:t>
      </w:r>
      <w:bookmarkEnd w:id="4"/>
    </w:p>
    <w:p w14:paraId="16552B8E">
      <w:pPr>
        <w:widowControl/>
        <w:spacing w:after="200" w:line="276" w:lineRule="auto"/>
        <w:ind w:firstLine="420"/>
        <w:contextualSpacing/>
        <w:jc w:val="left"/>
        <w:rPr>
          <w:rFonts w:asciiTheme="minorEastAsia" w:hAnsiTheme="minorEastAsia"/>
        </w:rPr>
      </w:pPr>
      <w:r>
        <w:rPr>
          <w:rFonts w:hint="eastAsia" w:asciiTheme="minorEastAsia" w:hAnsiTheme="minorEastAsia"/>
        </w:rPr>
        <w:t>10分钟</w:t>
      </w:r>
    </w:p>
    <w:p w14:paraId="29E75F25">
      <w:pPr>
        <w:pStyle w:val="2"/>
      </w:pPr>
      <w:bookmarkStart w:id="5" w:name="_Toc28091"/>
      <w:r>
        <w:rPr>
          <w:rFonts w:hint="eastAsia"/>
        </w:rPr>
        <w:t>【业务影响】</w:t>
      </w:r>
      <w:bookmarkEnd w:id="5"/>
    </w:p>
    <w:p w14:paraId="22A508B3">
      <w:pPr>
        <w:spacing w:line="360" w:lineRule="auto"/>
        <w:ind w:firstLine="420" w:firstLineChars="200"/>
        <w:rPr>
          <w:rFonts w:asciiTheme="minorEastAsia" w:hAnsiTheme="minorEastAsia"/>
        </w:rPr>
      </w:pPr>
      <w:r>
        <w:rPr>
          <w:rFonts w:hint="eastAsia" w:asciiTheme="minorEastAsia" w:hAnsiTheme="minorEastAsia"/>
        </w:rPr>
        <w:t>无业务影响</w:t>
      </w:r>
    </w:p>
    <w:p w14:paraId="0227EFAE">
      <w:pPr>
        <w:pStyle w:val="2"/>
      </w:pPr>
      <w:bookmarkStart w:id="6" w:name="_Toc12414"/>
      <w:r>
        <w:rPr>
          <w:rFonts w:hint="eastAsia"/>
        </w:rPr>
        <w:t>【操作步骤】</w:t>
      </w:r>
      <w:bookmarkEnd w:id="6"/>
    </w:p>
    <w:p w14:paraId="353B3E7E"/>
    <w:p w14:paraId="29A67D3E">
      <w:r>
        <w:rPr>
          <w:rFonts w:hint="eastAsia"/>
        </w:rPr>
        <w:t>由于</w:t>
      </w:r>
      <w:r>
        <w:t>OMS当前版本软件bug，当</w:t>
      </w:r>
      <w:r>
        <w:rPr>
          <w:rFonts w:hint="eastAsia"/>
        </w:rPr>
        <w:t>ob一小时</w:t>
      </w:r>
      <w:r>
        <w:t>内ddl超过16次，oms数据迁移进程</w:t>
      </w:r>
      <w:r>
        <w:rPr>
          <w:rFonts w:hint="eastAsia"/>
        </w:rPr>
        <w:t>就</w:t>
      </w:r>
      <w:r>
        <w:t>会卡住，针对此问题需要做以下技术操作</w:t>
      </w:r>
      <w:r>
        <w:rPr>
          <w:rFonts w:hint="eastAsia"/>
        </w:rPr>
        <w:t>来</w:t>
      </w:r>
      <w:r>
        <w:t>恢复数据同步。</w:t>
      </w:r>
    </w:p>
    <w:p w14:paraId="6388ACFB"/>
    <w:p w14:paraId="06023C62">
      <w:r>
        <w:t xml:space="preserve">1) 登陆OMS检查该链路状态 https://3.14.20.60:8089 </w:t>
      </w:r>
    </w:p>
    <w:p w14:paraId="4A2D7A45">
      <w:r>
        <w:tab/>
      </w:r>
      <w:r>
        <w:t>选择“数据迁移”菜单 搜索框输入 lg_lgm_01_lgmdb_to_dp_lg_lgmdb，然后点击链接进入该数据链路，点击“查看组件监控”，可以看到store进程当前拉去位点卡在凌晨5:00。</w:t>
      </w:r>
    </w:p>
    <w:p w14:paraId="33D5EF9C">
      <w:r>
        <w:drawing>
          <wp:inline distT="0" distB="0" distL="0" distR="0">
            <wp:extent cx="5274310" cy="216344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74310" cy="2163445"/>
                    </a:xfrm>
                    <a:prstGeom prst="rect">
                      <a:avLst/>
                    </a:prstGeom>
                  </pic:spPr>
                </pic:pic>
              </a:graphicData>
            </a:graphic>
          </wp:inline>
        </w:drawing>
      </w:r>
    </w:p>
    <w:p w14:paraId="0D586EB9"/>
    <w:p w14:paraId="6E66D3DA">
      <w:r>
        <w:drawing>
          <wp:inline distT="0" distB="0" distL="0" distR="0">
            <wp:extent cx="5274310" cy="263207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74310" cy="2632075"/>
                    </a:xfrm>
                    <a:prstGeom prst="rect">
                      <a:avLst/>
                    </a:prstGeom>
                  </pic:spPr>
                </pic:pic>
              </a:graphicData>
            </a:graphic>
          </wp:inline>
        </w:drawing>
      </w:r>
    </w:p>
    <w:p w14:paraId="5F0DE648"/>
    <w:p w14:paraId="00997404">
      <w:r>
        <w:t>2) crt登陆ocp31</w:t>
      </w:r>
    </w:p>
    <w:p w14:paraId="121E28C2">
      <w:r>
        <w:t>$ mysql -h3.14.90.11 -P2883 -uroot@</w:t>
      </w:r>
      <w:r>
        <w:rPr>
          <w:rFonts w:hint="eastAsia"/>
        </w:rPr>
        <w:t>sys</w:t>
      </w:r>
      <w:r>
        <w:t>#lg_ob_cluster_01 -pob_FC123# -c -A -D oceanbase</w:t>
      </w:r>
    </w:p>
    <w:p w14:paraId="56784257"/>
    <w:p w14:paraId="08D912C8">
      <w:r>
        <w:t>--通过如下语句可以看到1002租户执行的ddl较多。</w:t>
      </w:r>
    </w:p>
    <w:p w14:paraId="79C7FC38">
      <w:r>
        <w:t>MySQL [oceanbase]&gt; select tenant_id,count(*) from __all_</w:t>
      </w:r>
      <w:r>
        <w:rPr>
          <w:rFonts w:hint="eastAsia"/>
        </w:rPr>
        <w:t>virtual</w:t>
      </w:r>
      <w:r>
        <w:t>_ddl_operation where gmt_modified&gt; date_add(curdate(), interval 4 hour) group by tenant_id;</w:t>
      </w:r>
    </w:p>
    <w:p w14:paraId="30BA9D61">
      <w:r>
        <w:t>+-----------+----------+</w:t>
      </w:r>
    </w:p>
    <w:p w14:paraId="090732AC">
      <w:r>
        <w:t>| tenant_id | count(*) |</w:t>
      </w:r>
    </w:p>
    <w:p w14:paraId="7285BE19">
      <w:r>
        <w:t>+-----------+----------+</w:t>
      </w:r>
    </w:p>
    <w:p w14:paraId="1C63262B">
      <w:r>
        <w:t>|      1001 |       36 |</w:t>
      </w:r>
    </w:p>
    <w:p w14:paraId="6C5C62BA">
      <w:r>
        <w:t>|      1002 |      295 |</w:t>
      </w:r>
    </w:p>
    <w:p w14:paraId="5BEF9B88">
      <w:r>
        <w:t>|      1003 |       23 |</w:t>
      </w:r>
    </w:p>
    <w:p w14:paraId="2E83EDB5">
      <w:r>
        <w:t>|      1004 |       23 |</w:t>
      </w:r>
    </w:p>
    <w:p w14:paraId="4A20FDC9">
      <w:r>
        <w:t>|      1005 |       69 |</w:t>
      </w:r>
    </w:p>
    <w:p w14:paraId="34C5AA87">
      <w:r>
        <w:t>|      1006 |      247 |</w:t>
      </w:r>
    </w:p>
    <w:p w14:paraId="1204317D">
      <w:r>
        <w:t>|      1007 |       23 |</w:t>
      </w:r>
    </w:p>
    <w:p w14:paraId="5D2EA469">
      <w:r>
        <w:t>+-----------+----------+</w:t>
      </w:r>
    </w:p>
    <w:p w14:paraId="33CFF957">
      <w:r>
        <w:t>7 rows in set (0.50 sec)</w:t>
      </w:r>
    </w:p>
    <w:p w14:paraId="1B2BBAC5"/>
    <w:p w14:paraId="0D089163">
      <w:r>
        <w:t>--通过如下sql查询出1002租户当前最大的schema_version</w:t>
      </w:r>
    </w:p>
    <w:p w14:paraId="3DE7AAB4">
      <w:r>
        <w:t>MySQL [oceanbase]&gt; select max(schema_version) from __all_</w:t>
      </w:r>
      <w:r>
        <w:rPr>
          <w:rFonts w:hint="eastAsia"/>
        </w:rPr>
        <w:t>virtual</w:t>
      </w:r>
      <w:r>
        <w:t>_ddl_operation a where tenant_id=1002;</w:t>
      </w:r>
    </w:p>
    <w:p w14:paraId="3CD34340">
      <w:r>
        <w:t>+---------------------+</w:t>
      </w:r>
    </w:p>
    <w:p w14:paraId="55879A27">
      <w:r>
        <w:t>| max(schema_version) |</w:t>
      </w:r>
    </w:p>
    <w:p w14:paraId="19A7F8F0">
      <w:r>
        <w:t>+---------------------+</w:t>
      </w:r>
    </w:p>
    <w:p w14:paraId="28ECA71D">
      <w:r>
        <w:t>|    1710363638023920 |</w:t>
      </w:r>
    </w:p>
    <w:p w14:paraId="5B260652">
      <w:r>
        <w:t>+---------------------+</w:t>
      </w:r>
    </w:p>
    <w:p w14:paraId="10A6BB28">
      <w:r>
        <w:t>1 row in set (0.11 sec)</w:t>
      </w:r>
    </w:p>
    <w:p w14:paraId="4CDD9608"/>
    <w:p w14:paraId="50E58909">
      <w:r>
        <w:t>3) 点击组件监控中“store”进程后面的更新链接，找到 “liboblog.data_start_schema_version”参数，点击该参数后面的修改选项将 “1002:1710363638023920”填入进去，点击 √ 进行确认，点击右下角的确定按钮。等2~3分钟查看store进程是否重启正常，如未启动，点击启动即可。</w:t>
      </w:r>
    </w:p>
    <w:p w14:paraId="60802317">
      <w:r>
        <w:drawing>
          <wp:inline distT="0" distB="0" distL="0" distR="0">
            <wp:extent cx="5274310" cy="46856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74310" cy="4685665"/>
                    </a:xfrm>
                    <a:prstGeom prst="rect">
                      <a:avLst/>
                    </a:prstGeom>
                  </pic:spPr>
                </pic:pic>
              </a:graphicData>
            </a:graphic>
          </wp:inline>
        </w:drawing>
      </w:r>
    </w:p>
    <w:p w14:paraId="21DCFCD8">
      <w:r>
        <w:t>4) 等待进程启动完毕后5~10分，可以看到当前位点会增加。等待数据同步完成即可。</w:t>
      </w:r>
    </w:p>
    <w:p w14:paraId="4BFA7988"/>
    <w:p w14:paraId="525490C7"/>
    <w:p w14:paraId="2448F3C4"/>
    <w:p w14:paraId="60E7A380"/>
    <w:p w14:paraId="3A07B3E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D023C">
    <w:pPr>
      <w:pStyle w:val="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DFFFF">
    <w:pPr>
      <w:pStyle w:val="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E8556">
    <w:pPr>
      <w:pStyle w:val="4"/>
      <w:ind w:firstLine="360"/>
      <w:jc w:val="right"/>
    </w:pPr>
    <w:r>
      <w:rPr>
        <w:rFonts w:hint="eastAsia"/>
      </w:rPr>
      <w:t>XXX项目名称Vx.y.z版本概述文档类别</w:t>
    </w:r>
  </w:p>
  <w:p w14:paraId="33C1F6F7">
    <w:pPr>
      <w:pStyle w:val="4"/>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0743B">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283A7">
    <w:pPr>
      <w:pStyle w:val="4"/>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12F41"/>
    <w:multiLevelType w:val="multilevel"/>
    <w:tmpl w:val="00112F4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053"/>
    <w:rsid w:val="001B17ED"/>
    <w:rsid w:val="005213A7"/>
    <w:rsid w:val="00551500"/>
    <w:rsid w:val="00736053"/>
    <w:rsid w:val="0091461E"/>
    <w:rsid w:val="009E06D4"/>
    <w:rsid w:val="009F2E03"/>
    <w:rsid w:val="00D230FB"/>
    <w:rsid w:val="00E02577"/>
    <w:rsid w:val="07FD6C8A"/>
    <w:rsid w:val="0E455054"/>
    <w:rsid w:val="0E997A65"/>
    <w:rsid w:val="20E30C32"/>
    <w:rsid w:val="4A32018D"/>
    <w:rsid w:val="79D27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toc 1"/>
    <w:basedOn w:val="1"/>
    <w:next w:val="1"/>
    <w:unhideWhenUsed/>
    <w:qFormat/>
    <w:uiPriority w:val="39"/>
    <w:pPr>
      <w:widowControl/>
      <w:spacing w:after="100" w:line="276" w:lineRule="auto"/>
      <w:jc w:val="left"/>
    </w:pPr>
    <w:rPr>
      <w:kern w:val="0"/>
      <w:sz w:val="22"/>
    </w:rPr>
  </w:style>
  <w:style w:type="paragraph" w:styleId="6">
    <w:name w:val="toc 2"/>
    <w:basedOn w:val="1"/>
    <w:next w:val="1"/>
    <w:unhideWhenUsed/>
    <w:qFormat/>
    <w:uiPriority w:val="39"/>
    <w:pPr>
      <w:widowControl/>
      <w:spacing w:after="100" w:line="276" w:lineRule="auto"/>
      <w:ind w:left="220"/>
      <w:jc w:val="left"/>
    </w:pPr>
    <w:rPr>
      <w:kern w:val="0"/>
      <w:sz w:val="22"/>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7760480E.dotm</Template>
  <Pages>7</Pages>
  <Words>1039</Words>
  <Characters>1997</Characters>
  <Lines>11</Lines>
  <Paragraphs>3</Paragraphs>
  <TotalTime>1</TotalTime>
  <ScaleCrop>false</ScaleCrop>
  <LinksUpToDate>false</LinksUpToDate>
  <CharactersWithSpaces>2205</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2024-03-14T08:49:00Z</dcterms:created>
  <dc:creator>gs0001</dc:creator>
  <cp:lastModifiedBy>林丰义</cp:lastModifiedBy>
  <dcterms:modified xsi:type="dcterms:W3CDTF">2025-08-25T12:06:39Z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eyJoZGlkIjoiN2MxYmMwOGQ2NThiYWRkMTJiZTIyYWE1YjAyNTFiNTAiLCJ1c2VySWQiOiIxMDA5MzkxMjg4In0=</vt:lpwstr>
  </property>
  <property fmtid="{D5CDD505-2E9C-101B-9397-08002B2CF9AE}" pid="3" name="KSOProductBuildVer">
    <vt:lpwstr>2052-12.1.0.21911</vt:lpwstr>
  </property>
  <property fmtid="{D5CDD505-2E9C-101B-9397-08002B2CF9AE}" pid="4" name="ICV">
    <vt:lpwstr>6F5C5D8AB20C42ABB6A1A1C8757FDCBB_12</vt:lpwstr>
  </property>
</Properties>
</file>