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690321" wp14:paraId="02B8268C" wp14:textId="024BCDAB">
      <w:pPr>
        <w:pStyle w:val="Title"/>
        <w:spacing w:before="0" w:beforeAutospacing="off" w:after="120" w:afterAutospacing="off"/>
      </w:pPr>
      <w:r w:rsidRPr="17690321" w:rsidR="1E64E9DC">
        <w:rPr>
          <w:rFonts w:ascii="Barlow" w:hAnsi="Barlow" w:eastAsia="Barlow" w:cs="Barlow"/>
          <w:b w:val="1"/>
          <w:bCs w:val="1"/>
          <w:noProof w:val="0"/>
          <w:color w:val="F39200"/>
          <w:sz w:val="44"/>
          <w:szCs w:val="44"/>
          <w:lang w:val="de-DE"/>
        </w:rPr>
        <w:t>Entscheidungsvorlage: Azure Subscription-Segmentierung</w:t>
      </w:r>
    </w:p>
    <w:p xmlns:wp14="http://schemas.microsoft.com/office/word/2010/wordml" w:rsidP="17690321" wp14:paraId="4F7FAB71" wp14:textId="2F3313AC">
      <w:pPr>
        <w:spacing w:before="0" w:beforeAutospacing="off" w:after="160" w:afterAutospacing="off" w:line="329" w:lineRule="auto"/>
      </w:pPr>
      <w:r w:rsidRPr="17690321" w:rsidR="1E64E9DC">
        <w:rPr>
          <w:rFonts w:ascii="Arial" w:hAnsi="Arial" w:eastAsia="Arial" w:cs="Arial"/>
          <w:b w:val="1"/>
          <w:bCs w:val="1"/>
          <w:noProof w:val="0"/>
          <w:color w:val="3F3E3E"/>
          <w:sz w:val="22"/>
          <w:szCs w:val="22"/>
          <w:lang w:val="de-DE"/>
        </w:rPr>
        <w:t xml:space="preserve"> </w:t>
      </w:r>
    </w:p>
    <w:p xmlns:wp14="http://schemas.microsoft.com/office/word/2010/wordml" w:rsidP="17690321" wp14:paraId="0E80EEBA" wp14:textId="2D38171A">
      <w:pPr>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Datum:</w:t>
      </w:r>
      <w:r w:rsidRPr="17690321" w:rsidR="1E64E9DC">
        <w:rPr>
          <w:rFonts w:ascii="Barlow" w:hAnsi="Barlow" w:eastAsia="Barlow" w:cs="Barlow"/>
          <w:noProof w:val="0"/>
          <w:color w:val="3F3E3E"/>
          <w:sz w:val="22"/>
          <w:szCs w:val="22"/>
          <w:lang w:val="de-DE"/>
        </w:rPr>
        <w:t xml:space="preserve"> 07.07.2026</w:t>
      </w:r>
      <w:r>
        <w:br/>
      </w:r>
      <w:r w:rsidRPr="17690321" w:rsidR="1E64E9DC">
        <w:rPr>
          <w:rFonts w:ascii="Barlow" w:hAnsi="Barlow" w:eastAsia="Barlow" w:cs="Barlow"/>
          <w:noProof w:val="0"/>
          <w:color w:val="3F3E3E"/>
          <w:sz w:val="22"/>
          <w:szCs w:val="22"/>
          <w:lang w:val="de-DE"/>
        </w:rPr>
        <w:t xml:space="preserve"> </w:t>
      </w:r>
      <w:r w:rsidRPr="17690321" w:rsidR="1E64E9DC">
        <w:rPr>
          <w:rFonts w:ascii="Barlow" w:hAnsi="Barlow" w:eastAsia="Barlow" w:cs="Barlow"/>
          <w:b w:val="1"/>
          <w:bCs w:val="1"/>
          <w:noProof w:val="0"/>
          <w:color w:val="3F3E3E"/>
          <w:sz w:val="22"/>
          <w:szCs w:val="22"/>
          <w:lang w:val="de-DE"/>
        </w:rPr>
        <w:t>Thema:</w:t>
      </w:r>
      <w:r w:rsidRPr="17690321" w:rsidR="1E64E9DC">
        <w:rPr>
          <w:rFonts w:ascii="Barlow" w:hAnsi="Barlow" w:eastAsia="Barlow" w:cs="Barlow"/>
          <w:noProof w:val="0"/>
          <w:color w:val="3F3E3E"/>
          <w:sz w:val="22"/>
          <w:szCs w:val="22"/>
          <w:lang w:val="de-DE"/>
        </w:rPr>
        <w:t xml:space="preserve"> Strategie zur Segmentierung von Azure Subscriptions [</w:t>
      </w:r>
      <w:r w:rsidRPr="17690321" w:rsidR="1E64E9DC">
        <w:rPr>
          <w:rFonts w:ascii="Barlow" w:hAnsi="Barlow" w:eastAsia="Barlow" w:cs="Barlow"/>
          <w:i w:val="1"/>
          <w:iCs w:val="1"/>
          <w:noProof w:val="0"/>
          <w:color w:val="3F3E3E"/>
          <w:sz w:val="22"/>
          <w:szCs w:val="22"/>
          <w:lang w:val="de-DE"/>
        </w:rPr>
        <w:t>Platzhalter für die Projektbeschreibung</w:t>
      </w:r>
      <w:r w:rsidRPr="17690321" w:rsidR="1E64E9DC">
        <w:rPr>
          <w:rFonts w:ascii="Barlow" w:hAnsi="Barlow" w:eastAsia="Barlow" w:cs="Barlow"/>
          <w:noProof w:val="0"/>
          <w:color w:val="3F3E3E"/>
          <w:sz w:val="22"/>
          <w:szCs w:val="22"/>
          <w:lang w:val="de-DE"/>
        </w:rPr>
        <w:t>]</w:t>
      </w:r>
    </w:p>
    <w:p xmlns:wp14="http://schemas.microsoft.com/office/word/2010/wordml" w:rsidP="17690321" wp14:paraId="56BF04F7" wp14:textId="1CDD8A7B">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3697FA03" wp14:textId="0A5FC924">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760E68DA" wp14:textId="49F6DE8F">
      <w:pPr>
        <w:pStyle w:val="Heading2"/>
        <w:spacing w:before="240" w:beforeAutospacing="off" w:after="120" w:afterAutospacing="off" w:line="326" w:lineRule="auto"/>
      </w:pPr>
      <w:r w:rsidRPr="17690321" w:rsidR="1E64E9DC">
        <w:rPr>
          <w:rFonts w:ascii="Arial" w:hAnsi="Arial" w:eastAsia="Arial" w:cs="Arial"/>
          <w:b w:val="0"/>
          <w:bCs w:val="0"/>
          <w:caps w:val="1"/>
          <w:noProof w:val="0"/>
          <w:color w:val="3F3E3E"/>
          <w:sz w:val="32"/>
          <w:szCs w:val="32"/>
          <w:lang w:val="de-DE"/>
        </w:rPr>
        <w:t>1. Zusammenfassung und Empfehlung</w:t>
      </w:r>
    </w:p>
    <w:p xmlns:wp14="http://schemas.microsoft.com/office/word/2010/wordml" w:rsidP="17690321" wp14:paraId="7C8FBA8D" wp14:textId="49F74386">
      <w:pPr>
        <w:spacing w:before="0" w:beforeAutospacing="off" w:after="160" w:afterAutospacing="off" w:line="326" w:lineRule="auto"/>
        <w:jc w:val="both"/>
      </w:pPr>
      <w:r w:rsidRPr="17690321" w:rsidR="1E64E9DC">
        <w:rPr>
          <w:rFonts w:ascii="Barlow" w:hAnsi="Barlow" w:eastAsia="Barlow" w:cs="Barlow"/>
          <w:noProof w:val="0"/>
          <w:color w:val="3F3E3E"/>
          <w:sz w:val="22"/>
          <w:szCs w:val="22"/>
          <w:lang w:val="de-DE"/>
        </w:rPr>
        <w:t xml:space="preserve">Dieses Dokument dient als Entscheidungsgrundlage für die Architektur der Azure-Umgebung. </w:t>
      </w:r>
    </w:p>
    <w:p xmlns:wp14="http://schemas.microsoft.com/office/word/2010/wordml" w:rsidP="17690321" wp14:paraId="3796E443" wp14:textId="0827CB07">
      <w:pPr>
        <w:spacing w:before="0" w:beforeAutospacing="off" w:after="120" w:afterAutospacing="off"/>
        <w:jc w:val="both"/>
      </w:pPr>
      <w:r w:rsidRPr="17690321" w:rsidR="1E64E9DC">
        <w:rPr>
          <w:rFonts w:ascii="Barlow" w:hAnsi="Barlow" w:eastAsia="Barlow" w:cs="Barlow"/>
          <w:noProof w:val="0"/>
          <w:color w:val="3F3E3E"/>
          <w:sz w:val="22"/>
          <w:szCs w:val="22"/>
          <w:lang w:val="de-DE"/>
        </w:rPr>
        <w:t xml:space="preserve">Verglichen werden ein </w:t>
      </w:r>
      <w:r w:rsidRPr="17690321" w:rsidR="1E64E9DC">
        <w:rPr>
          <w:rFonts w:ascii="Barlow" w:hAnsi="Barlow" w:eastAsia="Barlow" w:cs="Barlow"/>
          <w:b w:val="1"/>
          <w:bCs w:val="1"/>
          <w:noProof w:val="0"/>
          <w:color w:val="F39200"/>
          <w:sz w:val="22"/>
          <w:szCs w:val="22"/>
          <w:lang w:val="de-DE"/>
        </w:rPr>
        <w:t>monolithischer Ansatz</w:t>
      </w:r>
      <w:r w:rsidRPr="17690321" w:rsidR="1E64E9DC">
        <w:rPr>
          <w:rFonts w:ascii="Barlow" w:hAnsi="Barlow" w:eastAsia="Barlow" w:cs="Barlow"/>
          <w:noProof w:val="0"/>
          <w:color w:val="F39200"/>
          <w:sz w:val="22"/>
          <w:szCs w:val="22"/>
          <w:lang w:val="de-DE"/>
        </w:rPr>
        <w:t xml:space="preserve"> </w:t>
      </w:r>
      <w:r w:rsidRPr="17690321" w:rsidR="1E64E9DC">
        <w:rPr>
          <w:rFonts w:ascii="Barlow" w:hAnsi="Barlow" w:eastAsia="Barlow" w:cs="Barlow"/>
          <w:noProof w:val="0"/>
          <w:color w:val="3F3E3E"/>
          <w:sz w:val="22"/>
          <w:szCs w:val="22"/>
          <w:lang w:val="de-DE"/>
        </w:rPr>
        <w:t xml:space="preserve">mit wenigen Subscriptions, bei dem Workloads primär über Ressourcengruppen getrennt werden, sowie ein </w:t>
      </w:r>
      <w:r w:rsidRPr="17690321" w:rsidR="1E64E9DC">
        <w:rPr>
          <w:rFonts w:ascii="Barlow" w:hAnsi="Barlow" w:eastAsia="Barlow" w:cs="Barlow"/>
          <w:b w:val="1"/>
          <w:bCs w:val="1"/>
          <w:noProof w:val="0"/>
          <w:color w:val="F39200"/>
          <w:sz w:val="22"/>
          <w:szCs w:val="22"/>
          <w:lang w:val="de-DE"/>
        </w:rPr>
        <w:t>granularer Ansatz</w:t>
      </w:r>
      <w:r w:rsidRPr="17690321" w:rsidR="1E64E9DC">
        <w:rPr>
          <w:rFonts w:ascii="Barlow" w:hAnsi="Barlow" w:eastAsia="Barlow" w:cs="Barlow"/>
          <w:noProof w:val="0"/>
          <w:color w:val="3F3E3E"/>
          <w:sz w:val="22"/>
          <w:szCs w:val="22"/>
          <w:lang w:val="de-DE"/>
        </w:rPr>
        <w:t xml:space="preserve"> mit Segmentierung nach Workload-Archetypen und getrennten Subscriptions für Produktions- und Nicht-Produktionsumgebungen.</w:t>
      </w:r>
    </w:p>
    <w:p xmlns:wp14="http://schemas.microsoft.com/office/word/2010/wordml" w:rsidP="17690321" wp14:paraId="4ACC04C4" wp14:textId="7086B2D2">
      <w:pPr>
        <w:spacing w:before="0" w:beforeAutospacing="off" w:after="120" w:afterAutospacing="off"/>
        <w:jc w:val="both"/>
      </w:pPr>
      <w:r w:rsidRPr="17690321" w:rsidR="1E64E9DC">
        <w:rPr>
          <w:rFonts w:ascii="Barlow" w:hAnsi="Barlow" w:eastAsia="Barlow" w:cs="Barlow"/>
          <w:noProof w:val="0"/>
          <w:color w:val="3F3E3E"/>
          <w:sz w:val="22"/>
          <w:szCs w:val="22"/>
          <w:lang w:val="de-DE"/>
        </w:rPr>
        <w:t>Der granulare Ansatz leitet sich aus der Empfehlung des Cloud Adoption Frameworks (CAF) ab und bildet die Grundlage für die weitere Bewertung.</w:t>
      </w:r>
    </w:p>
    <w:p xmlns:wp14="http://schemas.microsoft.com/office/word/2010/wordml" w:rsidP="17690321" wp14:paraId="275F078C" wp14:textId="7B5DD9F0">
      <w:pPr>
        <w:spacing w:before="0" w:beforeAutospacing="off" w:after="160" w:afterAutospacing="off" w:line="324" w:lineRule="auto"/>
        <w:jc w:val="both"/>
      </w:pPr>
      <w:r w:rsidRPr="17690321" w:rsidR="1E64E9DC">
        <w:rPr>
          <w:rFonts w:ascii="Barlow" w:hAnsi="Barlow" w:eastAsia="Barlow" w:cs="Barlow"/>
          <w:b w:val="1"/>
          <w:bCs w:val="1"/>
          <w:noProof w:val="0"/>
          <w:color w:val="3F3E3E"/>
          <w:sz w:val="22"/>
          <w:szCs w:val="22"/>
          <w:lang w:val="de-DE"/>
        </w:rPr>
        <w:t>Unsere klare Empfehlung ist der granulare Ansatz.</w:t>
      </w:r>
    </w:p>
    <w:p xmlns:wp14="http://schemas.microsoft.com/office/word/2010/wordml" w:rsidP="17690321" wp14:paraId="3DF1822E" wp14:textId="7A251951">
      <w:pPr>
        <w:spacing w:before="0" w:beforeAutospacing="off" w:after="120" w:afterAutospacing="off"/>
        <w:jc w:val="both"/>
      </w:pPr>
      <w:r w:rsidRPr="17690321" w:rsidR="1E64E9DC">
        <w:rPr>
          <w:rFonts w:ascii="Barlow" w:hAnsi="Barlow" w:eastAsia="Barlow" w:cs="Barlow"/>
          <w:noProof w:val="0"/>
          <w:color w:val="3F3E3E"/>
          <w:sz w:val="22"/>
          <w:szCs w:val="22"/>
          <w:lang w:val="de-DE"/>
        </w:rPr>
        <w:t>Er schafft eine sicherere, stabilere und langfristig kosteneffizientere Plattform, die mit den Anforderungen des Unternehmens skaliert. Der initiale Mehraufwand durch zusätzliche Subscriptions beschränkt sich im Wesentlichen auf organisatorische Prozesse. Die technische Bereitstellung und Einbindung in die Azure-Plattform erfolgt standardisiert und weitgehend automatisiert mittels Terraform. Gleichzeitig bedeutet der granulare Ansatz nicht, dass jede Komponente zwingend eine eigene Subscription benötigt. Zu unserem Ansatz gehört auch der gezielte Einsatz von Shared-Subscriptions für Workloads oder Plattformbausteine, bei denen eine dedizierte Subscription keinen fachlichen, technischen oder wirtschaftlichen Mehrwert liefert oder der betriebliche Aufwand nicht im Verhältnis zum Nutzen steht.</w:t>
      </w:r>
    </w:p>
    <w:p xmlns:wp14="http://schemas.microsoft.com/office/word/2010/wordml" w:rsidP="17690321" wp14:paraId="4E7FB800" wp14:textId="5F065641">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62AA6E09" wp14:textId="194EBF17">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0DD55E2F" wp14:textId="1E2E2D89">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15B4A58B" wp14:textId="4EF30B39">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1B57324F" wp14:textId="6440666E">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6867424F" wp14:textId="39C8AD04">
      <w:pPr>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4B3FA080" wp14:textId="637F81D0">
      <w:pPr>
        <w:pStyle w:val="Heading2"/>
        <w:spacing w:before="240" w:beforeAutospacing="off" w:after="120" w:afterAutospacing="off" w:line="326" w:lineRule="auto"/>
      </w:pPr>
      <w:r w:rsidRPr="17690321" w:rsidR="1E64E9DC">
        <w:rPr>
          <w:rFonts w:ascii="Arial" w:hAnsi="Arial" w:eastAsia="Arial" w:cs="Arial"/>
          <w:b w:val="0"/>
          <w:bCs w:val="0"/>
          <w:caps w:val="1"/>
          <w:noProof w:val="0"/>
          <w:color w:val="3F3E3E"/>
          <w:sz w:val="32"/>
          <w:szCs w:val="32"/>
          <w:lang w:val="de-DE"/>
        </w:rPr>
        <w:t>2. Gegenüberstellung: "Sammel-Spokes" vs. "Einzel-Anwendungs-Spokes"</w:t>
      </w:r>
    </w:p>
    <w:p xmlns:wp14="http://schemas.microsoft.com/office/word/2010/wordml" w:rsidP="17690321" wp14:paraId="6B66DFF5" wp14:textId="2321A27D">
      <w:pPr>
        <w:spacing w:before="0" w:beforeAutospacing="off" w:after="160" w:afterAutospacing="off" w:line="326" w:lineRule="auto"/>
        <w:jc w:val="both"/>
      </w:pPr>
      <w:r w:rsidRPr="17690321" w:rsidR="1E64E9DC">
        <w:rPr>
          <w:rFonts w:ascii="Barlow" w:hAnsi="Barlow" w:eastAsia="Barlow" w:cs="Barlow"/>
          <w:noProof w:val="0"/>
          <w:color w:val="3F3E3E"/>
          <w:sz w:val="22"/>
          <w:szCs w:val="22"/>
          <w:lang w:val="de-DE"/>
        </w:rPr>
        <w:t xml:space="preserve">Die aktuelle Architektur trennt bereits vorbildlich nach Produktions- und Nicht-Produktionsumgebungen auf Subscription-Ebene. Die zentrale Frage ist die Granularität </w:t>
      </w:r>
      <w:r w:rsidRPr="17690321" w:rsidR="1E64E9DC">
        <w:rPr>
          <w:rFonts w:ascii="Barlow" w:hAnsi="Barlow" w:eastAsia="Barlow" w:cs="Barlow"/>
          <w:i w:val="1"/>
          <w:iCs w:val="1"/>
          <w:noProof w:val="0"/>
          <w:color w:val="3F3E3E"/>
          <w:sz w:val="22"/>
          <w:szCs w:val="22"/>
          <w:lang w:val="de-DE"/>
        </w:rPr>
        <w:t>innerhalb</w:t>
      </w:r>
      <w:r w:rsidRPr="17690321" w:rsidR="1E64E9DC">
        <w:rPr>
          <w:rFonts w:ascii="Barlow" w:hAnsi="Barlow" w:eastAsia="Barlow" w:cs="Barlow"/>
          <w:noProof w:val="0"/>
          <w:color w:val="3F3E3E"/>
          <w:sz w:val="22"/>
          <w:szCs w:val="22"/>
          <w:lang w:val="de-DE"/>
        </w:rPr>
        <w:t xml:space="preserve"> dieser Umgebungen.</w:t>
      </w:r>
    </w:p>
    <w:p xmlns:wp14="http://schemas.microsoft.com/office/word/2010/wordml" w:rsidP="17690321" wp14:paraId="3E8008E8" wp14:textId="5E8FDD0A">
      <w:pPr>
        <w:spacing w:before="120" w:beforeAutospacing="off" w:after="120" w:afterAutospacing="off"/>
      </w:pPr>
      <w:r w:rsidRPr="17690321" w:rsidR="1E64E9DC">
        <w:rPr>
          <w:rFonts w:ascii="Barlow" w:hAnsi="Barlow" w:eastAsia="Barlow" w:cs="Barlow"/>
          <w:noProof w:val="0"/>
          <w:color w:val="3F3E3E"/>
          <w:sz w:val="22"/>
          <w:szCs w:val="22"/>
          <w:lang w:val="de-DE"/>
        </w:rPr>
        <w:t xml:space="preserve"> </w:t>
      </w:r>
    </w:p>
    <w:tbl>
      <w:tblPr>
        <w:tblStyle w:val="TableGrid"/>
        <w:bidiVisual w:val="0"/>
        <w:tblW w:w="0" w:type="auto"/>
        <w:tblLook w:val="04A0" w:firstRow="1" w:lastRow="0" w:firstColumn="1" w:lastColumn="0" w:noHBand="0" w:noVBand="1"/>
      </w:tblPr>
      <w:tblGrid>
        <w:gridCol w:w="3005"/>
        <w:gridCol w:w="3005"/>
        <w:gridCol w:w="3005"/>
      </w:tblGrid>
      <w:tr w:rsidR="17690321" w:rsidTr="17690321" w14:paraId="63DAE8C1">
        <w:trPr>
          <w:trHeight w:val="300"/>
        </w:trPr>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6F4A75B4" w14:textId="279AD211">
            <w:pPr>
              <w:spacing w:before="40" w:beforeAutospacing="off" w:after="120" w:afterAutospacing="off"/>
              <w:jc w:val="both"/>
            </w:pPr>
            <w:r w:rsidRPr="17690321" w:rsidR="17690321">
              <w:rPr>
                <w:rFonts w:ascii="Barlow" w:hAnsi="Barlow" w:eastAsia="Barlow" w:cs="Barlow"/>
                <w:b w:val="0"/>
                <w:bCs w:val="0"/>
                <w:caps w:val="1"/>
                <w:color w:val="777776"/>
                <w:sz w:val="18"/>
                <w:szCs w:val="18"/>
              </w:rPr>
              <w:t>Kriterium</w:t>
            </w:r>
          </w:p>
        </w:tc>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41036ECE" w14:textId="60467E7F">
            <w:pPr>
              <w:spacing w:before="40" w:beforeAutospacing="off" w:after="120" w:afterAutospacing="off"/>
              <w:jc w:val="both"/>
            </w:pPr>
            <w:r w:rsidRPr="17690321" w:rsidR="17690321">
              <w:rPr>
                <w:rFonts w:ascii="Barlow" w:hAnsi="Barlow" w:eastAsia="Barlow" w:cs="Barlow"/>
                <w:b w:val="0"/>
                <w:bCs w:val="0"/>
                <w:caps w:val="1"/>
                <w:color w:val="777776"/>
                <w:sz w:val="18"/>
                <w:szCs w:val="18"/>
              </w:rPr>
              <w:t>Aktueller Ansatz ("Sammel-Spokes")</w:t>
            </w:r>
          </w:p>
        </w:tc>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587F702B" w14:textId="54A7CA7A">
            <w:pPr>
              <w:spacing w:before="40" w:beforeAutospacing="off" w:after="120" w:afterAutospacing="off"/>
              <w:jc w:val="both"/>
            </w:pPr>
            <w:r w:rsidRPr="17690321" w:rsidR="17690321">
              <w:rPr>
                <w:rFonts w:ascii="Barlow" w:hAnsi="Barlow" w:eastAsia="Barlow" w:cs="Barlow"/>
                <w:b w:val="0"/>
                <w:bCs w:val="0"/>
                <w:caps w:val="1"/>
                <w:color w:val="777776"/>
                <w:sz w:val="18"/>
                <w:szCs w:val="18"/>
              </w:rPr>
              <w:t>Empfohlener Ansatz ("Anwendungs-Spokes")</w:t>
            </w:r>
          </w:p>
        </w:tc>
      </w:tr>
      <w:tr w:rsidR="17690321" w:rsidTr="17690321" w14:paraId="08A4BEA8">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1443155F" w14:textId="13E65CC3">
            <w:pPr>
              <w:spacing w:before="0" w:beforeAutospacing="off" w:after="60" w:afterAutospacing="off"/>
            </w:pPr>
            <w:r w:rsidRPr="17690321" w:rsidR="17690321">
              <w:rPr>
                <w:rFonts w:ascii="Barlow" w:hAnsi="Barlow" w:eastAsia="Barlow" w:cs="Barlow"/>
                <w:color w:val="3F3E3E"/>
                <w:sz w:val="16"/>
                <w:szCs w:val="16"/>
              </w:rPr>
              <w:t>Grundprinzip</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6AA7DD0C" w14:textId="3CE80AB3">
            <w:pPr>
              <w:spacing w:before="0" w:beforeAutospacing="off" w:after="60" w:afterAutospacing="off"/>
            </w:pPr>
            <w:r w:rsidRPr="17690321" w:rsidR="17690321">
              <w:rPr>
                <w:rFonts w:ascii="Barlow" w:hAnsi="Barlow" w:eastAsia="Barlow" w:cs="Barlow"/>
                <w:color w:val="3F3E3E"/>
                <w:sz w:val="16"/>
                <w:szCs w:val="16"/>
              </w:rPr>
              <w:t>Eine Subscription pro Geschäftsbereich/Verbund und Umgebung (z.B. sub-dus-sait-nonprod-fdg) enthält die Ressourcengruppen für mehrere Anwendungen.</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2738FF39" w14:textId="1458514C">
            <w:pPr>
              <w:spacing w:before="0" w:beforeAutospacing="off" w:after="60" w:afterAutospacing="off"/>
            </w:pPr>
            <w:r w:rsidRPr="17690321" w:rsidR="17690321">
              <w:rPr>
                <w:rFonts w:ascii="Barlow" w:hAnsi="Barlow" w:eastAsia="Barlow" w:cs="Barlow"/>
                <w:color w:val="3F3E3E"/>
                <w:sz w:val="16"/>
                <w:szCs w:val="16"/>
              </w:rPr>
              <w:t>Eine Subscription pro einzelner Anwendung und Umgebung (z.B. sub-app-atled-nonprod).</w:t>
            </w:r>
          </w:p>
        </w:tc>
      </w:tr>
      <w:tr w:rsidR="17690321" w:rsidTr="17690321" w14:paraId="43000B7F">
        <w:trPr>
          <w:trHeight w:val="300"/>
        </w:trPr>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76A92206" w14:textId="66A2AEA9">
            <w:pPr>
              <w:spacing w:before="0" w:beforeAutospacing="off" w:after="60" w:afterAutospacing="off"/>
            </w:pPr>
            <w:r w:rsidRPr="17690321" w:rsidR="17690321">
              <w:rPr>
                <w:rFonts w:ascii="Barlow" w:hAnsi="Barlow" w:eastAsia="Barlow" w:cs="Barlow"/>
                <w:color w:val="3F3E3E"/>
                <w:sz w:val="16"/>
                <w:szCs w:val="16"/>
              </w:rPr>
              <w:t>Sicherheit &amp; Isolation</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058AC8F7" w14:textId="0E6AE185">
            <w:pPr>
              <w:spacing w:before="0" w:beforeAutospacing="off" w:after="60" w:afterAutospacing="off"/>
            </w:pPr>
            <w:r w:rsidRPr="17690321" w:rsidR="17690321">
              <w:rPr>
                <w:rFonts w:ascii="Barlow" w:hAnsi="Barlow" w:eastAsia="Barlow" w:cs="Barlow"/>
                <w:color w:val="3F3E3E"/>
                <w:sz w:val="16"/>
                <w:szCs w:val="16"/>
              </w:rPr>
              <w:t>Mittel: Ein Angreifer oder eine Fehlkonfiguration in einer Anwendung (z.B. App "A") kann potenziell andere Anwendungen (App "B", "C") in derselben Subscription beeinträchtigen ("laterale Bewegung"). Der Blast Radius umfasst alle Anwendungen im Spoke.</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3C7E5334" w14:textId="42325193">
            <w:pPr>
              <w:spacing w:before="0" w:beforeAutospacing="off" w:after="60" w:afterAutospacing="off"/>
            </w:pPr>
            <w:r w:rsidRPr="17690321" w:rsidR="17690321">
              <w:rPr>
                <w:rFonts w:ascii="Barlow" w:hAnsi="Barlow" w:eastAsia="Barlow" w:cs="Barlow"/>
                <w:color w:val="3F3E3E"/>
                <w:sz w:val="16"/>
                <w:szCs w:val="16"/>
              </w:rPr>
              <w:t>Stark: Strikte, native Isolation auf Subscription-Ebene. Ein Vorfall in App "A" ist vollständig von App "B" und "C" abgeschottet. Minimaler Blast Radius.</w:t>
            </w:r>
          </w:p>
        </w:tc>
      </w:tr>
      <w:tr w:rsidR="17690321" w:rsidTr="17690321" w14:paraId="5E616F0B">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15475DE0" w14:textId="1A0B706A">
            <w:pPr>
              <w:spacing w:before="0" w:beforeAutospacing="off" w:after="60" w:afterAutospacing="off"/>
            </w:pPr>
            <w:r w:rsidRPr="17690321" w:rsidR="17690321">
              <w:rPr>
                <w:rFonts w:ascii="Barlow" w:hAnsi="Barlow" w:eastAsia="Barlow" w:cs="Barlow"/>
                <w:color w:val="3F3E3E"/>
                <w:sz w:val="16"/>
                <w:szCs w:val="16"/>
              </w:rPr>
              <w:t>Governance &amp; Policies</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0109CE7D" w14:textId="37A56317">
            <w:pPr>
              <w:spacing w:before="0" w:beforeAutospacing="off" w:after="60" w:afterAutospacing="off"/>
            </w:pPr>
            <w:r w:rsidRPr="17690321" w:rsidR="17690321">
              <w:rPr>
                <w:rFonts w:ascii="Barlow" w:hAnsi="Barlow" w:eastAsia="Barlow" w:cs="Barlow"/>
                <w:color w:val="3F3E3E"/>
                <w:sz w:val="16"/>
                <w:szCs w:val="16"/>
              </w:rPr>
              <w:t>Mittel: Azure Policies gelten für alle Anwendungen in der Subscription. App-spezifische Policies müssen per Tagging/Filter umständlich zugewiesen werden.</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79B2BD21" w14:textId="78C9BAE1">
            <w:pPr>
              <w:spacing w:before="0" w:beforeAutospacing="off" w:after="60" w:afterAutospacing="off"/>
            </w:pPr>
            <w:r w:rsidRPr="17690321" w:rsidR="17690321">
              <w:rPr>
                <w:rFonts w:ascii="Barlow" w:hAnsi="Barlow" w:eastAsia="Barlow" w:cs="Barlow"/>
                <w:color w:val="3F3E3E"/>
                <w:sz w:val="16"/>
                <w:szCs w:val="16"/>
              </w:rPr>
              <w:t>Stark: Einfache Zuweisung von dedizierten, strikten Policies pro Anwendung.</w:t>
            </w:r>
          </w:p>
        </w:tc>
      </w:tr>
      <w:tr w:rsidR="17690321" w:rsidTr="17690321" w14:paraId="5B1A23E8">
        <w:trPr>
          <w:trHeight w:val="300"/>
        </w:trPr>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7CFA9A87" w14:textId="56DAD4E7">
            <w:pPr>
              <w:spacing w:before="0" w:beforeAutospacing="off" w:after="60" w:afterAutospacing="off"/>
            </w:pPr>
            <w:r w:rsidRPr="17690321" w:rsidR="17690321">
              <w:rPr>
                <w:rFonts w:ascii="Barlow" w:hAnsi="Barlow" w:eastAsia="Barlow" w:cs="Barlow"/>
                <w:color w:val="3F3E3E"/>
                <w:sz w:val="16"/>
                <w:szCs w:val="16"/>
              </w:rPr>
              <w:t>Limits &amp; Quotas</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7CACFD08" w14:textId="3C6AB4C9">
            <w:pPr>
              <w:spacing w:before="0" w:beforeAutospacing="off" w:after="60" w:afterAutospacing="off"/>
            </w:pPr>
            <w:r w:rsidRPr="17690321" w:rsidR="17690321">
              <w:rPr>
                <w:rFonts w:ascii="Barlow" w:hAnsi="Barlow" w:eastAsia="Barlow" w:cs="Barlow"/>
                <w:color w:val="3F3E3E"/>
                <w:sz w:val="16"/>
                <w:szCs w:val="16"/>
              </w:rPr>
              <w:t>Riskant: Alle Anwendungen in der Subscription teilen sich die Azure-Limits (z.B. vCPU-Quotas, API-Request-Limits). Ein Lasttest der App "A" kann die API-Raten für die produktive App "B" aufbrauchen, wenn beide im selben "Sammel-Spoke" liegen.</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768E5D4F" w14:textId="107514D7">
            <w:pPr>
              <w:spacing w:before="0" w:beforeAutospacing="off" w:after="60" w:afterAutospacing="off"/>
            </w:pPr>
            <w:r w:rsidRPr="17690321" w:rsidR="17690321">
              <w:rPr>
                <w:rFonts w:ascii="Barlow" w:hAnsi="Barlow" w:eastAsia="Barlow" w:cs="Barlow"/>
                <w:color w:val="3F3E3E"/>
                <w:sz w:val="16"/>
                <w:szCs w:val="16"/>
              </w:rPr>
              <w:t>Robust: Jede Anwendung erhält ihre eigenen, dedizierten Limits. Keine gegenseitige Beeinflussung.</w:t>
            </w:r>
          </w:p>
        </w:tc>
      </w:tr>
      <w:tr w:rsidR="17690321" w:rsidTr="17690321" w14:paraId="74CCB6EF">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1C3892EA" w14:textId="28FE851F">
            <w:pPr>
              <w:spacing w:before="0" w:beforeAutospacing="off" w:after="60" w:afterAutospacing="off"/>
            </w:pPr>
            <w:r w:rsidRPr="17690321" w:rsidR="17690321">
              <w:rPr>
                <w:rFonts w:ascii="Barlow" w:hAnsi="Barlow" w:eastAsia="Barlow" w:cs="Barlow"/>
                <w:color w:val="3F3E3E"/>
                <w:sz w:val="16"/>
                <w:szCs w:val="16"/>
              </w:rPr>
              <w:t>Kostentransparenz</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54833A76" w14:textId="4C07DE32">
            <w:pPr>
              <w:spacing w:before="0" w:beforeAutospacing="off" w:after="60" w:afterAutospacing="off"/>
            </w:pPr>
            <w:r w:rsidRPr="17690321" w:rsidR="17690321">
              <w:rPr>
                <w:rFonts w:ascii="Barlow" w:hAnsi="Barlow" w:eastAsia="Barlow" w:cs="Barlow"/>
                <w:color w:val="3F3E3E"/>
                <w:sz w:val="16"/>
                <w:szCs w:val="16"/>
              </w:rPr>
              <w:t>Schwach: Die Kosten einer einzelnen Anwendung müssen mühsam über die Tags der Ressourcengruppen aggregiert werden. Die Zuordnung von geteilten Ressourcen ist schwierig.</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64B9A5E0" w14:textId="1FB0A309">
            <w:pPr>
              <w:spacing w:before="0" w:beforeAutospacing="off" w:after="60" w:afterAutospacing="off"/>
            </w:pPr>
            <w:r w:rsidRPr="17690321" w:rsidR="17690321">
              <w:rPr>
                <w:rFonts w:ascii="Barlow" w:hAnsi="Barlow" w:eastAsia="Barlow" w:cs="Barlow"/>
                <w:color w:val="3F3E3E"/>
                <w:sz w:val="16"/>
                <w:szCs w:val="16"/>
              </w:rPr>
              <w:t>Exzellent: Die Kosten einer Anwendung sind größtenteils direkt ihrer dedizierten Subscription zugeordnet und ohne zusätzliche Aggregation auswertbar. Gemeinsam genutzte Plattformressourcen müssen weiterhin separat verteilt bzw. verrechnet werden.</w:t>
            </w:r>
          </w:p>
        </w:tc>
      </w:tr>
      <w:tr w:rsidR="17690321" w:rsidTr="17690321" w14:paraId="2D95A8CA">
        <w:trPr>
          <w:trHeight w:val="300"/>
        </w:trPr>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0A1B55A2" w14:textId="4FDA5A60">
            <w:pPr>
              <w:spacing w:before="0" w:beforeAutospacing="off" w:after="60" w:afterAutospacing="off"/>
            </w:pPr>
            <w:r w:rsidRPr="17690321" w:rsidR="17690321">
              <w:rPr>
                <w:rFonts w:ascii="Barlow" w:hAnsi="Barlow" w:eastAsia="Barlow" w:cs="Barlow"/>
                <w:color w:val="3F3E3E"/>
                <w:sz w:val="16"/>
                <w:szCs w:val="16"/>
              </w:rPr>
              <w:t>Betrieb mit IaC (Terraform)</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39A2707F" w14:textId="16BA4C2B">
            <w:pPr>
              <w:spacing w:before="0" w:beforeAutospacing="off" w:after="60" w:afterAutospacing="off"/>
            </w:pPr>
            <w:r w:rsidRPr="17690321" w:rsidR="17690321">
              <w:rPr>
                <w:rFonts w:ascii="Barlow" w:hAnsi="Barlow" w:eastAsia="Barlow" w:cs="Barlow"/>
                <w:color w:val="3F3E3E"/>
                <w:sz w:val="16"/>
                <w:szCs w:val="16"/>
              </w:rPr>
              <w:t>Schwerfällig: Ein großer Terraform-State verwaltet mehrere, unabhängige Anwendungen. Plan/Apply-Zyklen sind langsam, fehleranfällig und bergen das Risiko von ungewollten Änderungen an anderen Anwendungen.</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19ECC9B5" w14:textId="1C21E2CD">
            <w:pPr>
              <w:spacing w:before="0" w:beforeAutospacing="off" w:after="60" w:afterAutospacing="off"/>
            </w:pPr>
            <w:r w:rsidRPr="17690321" w:rsidR="17690321">
              <w:rPr>
                <w:rFonts w:ascii="Barlow" w:hAnsi="Barlow" w:eastAsia="Barlow" w:cs="Barlow"/>
                <w:color w:val="3F3E3E"/>
                <w:sz w:val="16"/>
                <w:szCs w:val="16"/>
              </w:rPr>
              <w:t>Ideal: Jede Anwendung hat ihren eigenen kleinen, fokussierten und unabhängigen Terraform-State. Änderungen sind schnell, isoliert und risikoarm.</w:t>
            </w:r>
          </w:p>
        </w:tc>
      </w:tr>
      <w:tr w:rsidR="17690321" w:rsidTr="17690321" w14:paraId="215B7B9E">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69B9BD17" w14:textId="688FC034">
            <w:pPr>
              <w:spacing w:before="0" w:beforeAutospacing="off" w:after="60" w:afterAutospacing="off"/>
            </w:pPr>
            <w:r w:rsidRPr="17690321" w:rsidR="17690321">
              <w:rPr>
                <w:rFonts w:ascii="Barlow" w:hAnsi="Barlow" w:eastAsia="Barlow" w:cs="Barlow"/>
                <w:color w:val="3F3E3E"/>
                <w:sz w:val="16"/>
                <w:szCs w:val="16"/>
              </w:rPr>
              <w:t>Netzwerkkosten (App-zu-App)</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64BB7991" w14:textId="306F512F">
            <w:pPr>
              <w:spacing w:before="0" w:beforeAutospacing="off" w:after="60" w:afterAutospacing="off"/>
            </w:pPr>
            <w:r w:rsidRPr="17690321" w:rsidR="17690321">
              <w:rPr>
                <w:rFonts w:ascii="Barlow" w:hAnsi="Barlow" w:eastAsia="Barlow" w:cs="Barlow"/>
                <w:color w:val="3F3E3E"/>
                <w:sz w:val="16"/>
                <w:szCs w:val="16"/>
              </w:rPr>
              <w:t>Potenziell niedriger:Sofern Anwendungen innerhalb desselben VNets direkt kommunizieren können. Bei zentralem Routing über den Hub entstehen ähnliche Kosten wie im granularen Modell.</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31D4FCF1" w14:textId="3D68A111">
            <w:pPr>
              <w:spacing w:before="0" w:beforeAutospacing="off" w:after="60" w:afterAutospacing="off"/>
            </w:pPr>
            <w:r w:rsidRPr="17690321" w:rsidR="17690321">
              <w:rPr>
                <w:rFonts w:ascii="Barlow" w:hAnsi="Barlow" w:eastAsia="Barlow" w:cs="Barlow"/>
                <w:color w:val="3F3E3E"/>
                <w:sz w:val="16"/>
                <w:szCs w:val="16"/>
              </w:rPr>
              <w:t>Potenziell höher: Der Verkehr zwischen Anwendungen häufig über den Hub geführt wird. Zusätzliche Kosten sind der bewusst akzeptierte Trade-off für bessere Isolation und Governance.</w:t>
            </w:r>
          </w:p>
        </w:tc>
      </w:tr>
    </w:tbl>
    <w:p xmlns:wp14="http://schemas.microsoft.com/office/word/2010/wordml" w:rsidP="17690321" wp14:paraId="0B2DBE39" wp14:textId="372A5584">
      <w:pPr>
        <w:bidi w:val="0"/>
        <w:spacing w:before="220" w:beforeAutospacing="off" w:after="2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37CB59A6" wp14:textId="1F2DC164">
      <w:pPr>
        <w:bidi w:val="0"/>
        <w:spacing w:before="220" w:beforeAutospacing="off" w:after="220" w:afterAutospacing="off"/>
      </w:pPr>
      <w:r w:rsidRPr="17690321" w:rsidR="1E64E9DC">
        <w:rPr>
          <w:rFonts w:ascii="Arial" w:hAnsi="Arial" w:eastAsia="Arial" w:cs="Arial"/>
          <w:noProof w:val="0"/>
          <w:color w:val="3F3E3E"/>
          <w:sz w:val="32"/>
          <w:szCs w:val="32"/>
          <w:lang w:val="de-DE"/>
        </w:rPr>
        <w:t>3. Detaillierte Analyse der Peering-Kosten (angepasst an CAF-Architektur)</w:t>
      </w:r>
    </w:p>
    <w:p xmlns:wp14="http://schemas.microsoft.com/office/word/2010/wordml" w:rsidP="17690321" wp14:paraId="52AF7001" wp14:textId="79AFE36D">
      <w:pPr>
        <w:bidi w:val="0"/>
        <w:spacing w:before="0" w:beforeAutospacing="off" w:after="120" w:afterAutospacing="off"/>
        <w:jc w:val="both"/>
      </w:pPr>
      <w:r w:rsidRPr="17690321" w:rsidR="1E64E9DC">
        <w:rPr>
          <w:rFonts w:ascii="Barlow" w:hAnsi="Barlow" w:eastAsia="Barlow" w:cs="Barlow"/>
          <w:noProof w:val="0"/>
          <w:color w:val="3F3E3E"/>
          <w:sz w:val="22"/>
          <w:szCs w:val="22"/>
          <w:lang w:val="de-DE"/>
        </w:rPr>
        <w:t>Das Argument der Peering-Kosten ist valide. Die Kosten entstehen, wenn Daten ein virtuelles Netzwerk (VNet) verlassen und in ein anderes gelangen. In der von uns empfohlenen Hub-Spoke-Architektur, die sich am Cloud Adoption Framework (CAF) orientiert, bedeutet das konkret:</w:t>
      </w:r>
    </w:p>
    <w:p xmlns:wp14="http://schemas.microsoft.com/office/word/2010/wordml" w:rsidP="17690321" wp14:paraId="7E19DB7F" wp14:textId="727C0493">
      <w:pPr>
        <w:bidi w:val="0"/>
        <w:spacing w:before="0" w:beforeAutospacing="off" w:after="120" w:afterAutospacing="off"/>
        <w:jc w:val="both"/>
      </w:pPr>
      <w:r w:rsidRPr="17690321" w:rsidR="1E64E9DC">
        <w:rPr>
          <w:rFonts w:ascii="Barlow" w:hAnsi="Barlow" w:eastAsia="Barlow" w:cs="Barlow"/>
          <w:noProof w:val="0"/>
          <w:color w:val="3F3E3E"/>
          <w:sz w:val="22"/>
          <w:szCs w:val="22"/>
          <w:lang w:val="de-DE"/>
        </w:rPr>
        <w:t>In der empfohlenen Hub-Spoke-Architektur übernimmt die Connectivity Subscription das zentrale Hub-VNet. Die Identity Subscription stellt zentrale Identitätsdienste wie Domain Controller in einem eigenen Spoke-VNet bereit. Workload Subscriptions enthalten jeweils die anwendungsspezifischen Spoke-VNets und sind ebenfalls mit dem Hub verbunden.</w:t>
      </w:r>
    </w:p>
    <w:p xmlns:wp14="http://schemas.microsoft.com/office/word/2010/wordml" w:rsidP="17690321" wp14:paraId="7059BAC5" wp14:textId="1C47B4FF">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25FFBD4B" wp14:textId="183F7DDD">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Wann fallen Kosten an? (Stand 2026, Region Germany West Central)</w:t>
      </w:r>
    </w:p>
    <w:p xmlns:wp14="http://schemas.microsoft.com/office/word/2010/wordml" w:rsidP="17690321" wp14:paraId="551B0FF1" wp14:textId="6B3F0F5B">
      <w:pPr>
        <w:bidi w:val="0"/>
        <w:spacing w:before="0" w:beforeAutospacing="off" w:after="120" w:afterAutospacing="off"/>
        <w:jc w:val="both"/>
      </w:pPr>
      <w:r w:rsidRPr="17690321" w:rsidR="1E64E9DC">
        <w:rPr>
          <w:rFonts w:ascii="Barlow" w:hAnsi="Barlow" w:eastAsia="Barlow" w:cs="Barlow"/>
          <w:noProof w:val="0"/>
          <w:color w:val="3F3E3E"/>
          <w:sz w:val="22"/>
          <w:szCs w:val="22"/>
          <w:lang w:val="de-DE"/>
        </w:rPr>
        <w:t xml:space="preserve">Kosten entstehen dann, wenn Daten zwischen virtuellen Netzwerken über Peering-Verbindungen übertragen werden. Für In-Region VNet Peering in Germany West Central wird als Richtwert ca. </w:t>
      </w:r>
      <w:r w:rsidRPr="17690321" w:rsidR="1E64E9DC">
        <w:rPr>
          <w:rFonts w:ascii="Barlow" w:hAnsi="Barlow" w:eastAsia="Barlow" w:cs="Barlow"/>
          <w:b w:val="1"/>
          <w:bCs w:val="1"/>
          <w:noProof w:val="0"/>
          <w:color w:val="3F3E3E"/>
          <w:sz w:val="22"/>
          <w:szCs w:val="22"/>
          <w:lang w:val="de-DE"/>
        </w:rPr>
        <w:t>0,01 € pro GB</w:t>
      </w:r>
      <w:r w:rsidRPr="17690321" w:rsidR="1E64E9DC">
        <w:rPr>
          <w:rFonts w:ascii="Barlow" w:hAnsi="Barlow" w:eastAsia="Barlow" w:cs="Barlow"/>
          <w:noProof w:val="0"/>
          <w:color w:val="3F3E3E"/>
          <w:sz w:val="22"/>
          <w:szCs w:val="22"/>
          <w:lang w:val="de-DE"/>
        </w:rPr>
        <w:t xml:space="preserve"> je durchquerter Peering-Verbindung angesetzt. Traffic innerhalb desselben VNets verursacht dagegen keine Peering-Kosten.</w:t>
      </w:r>
    </w:p>
    <w:p xmlns:wp14="http://schemas.microsoft.com/office/word/2010/wordml" w:rsidP="17690321" wp14:paraId="2AAD8F60" wp14:textId="70D69DEA">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681FE992" wp14:textId="53273B11">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Szenario-Analyse:</w:t>
      </w:r>
    </w:p>
    <w:tbl>
      <w:tblPr>
        <w:tblStyle w:val="TableGrid"/>
        <w:bidiVisual w:val="0"/>
        <w:tblW w:w="0" w:type="auto"/>
        <w:tblLook w:val="04A0" w:firstRow="1" w:lastRow="0" w:firstColumn="1" w:lastColumn="0" w:noHBand="0" w:noVBand="1"/>
      </w:tblPr>
      <w:tblGrid>
        <w:gridCol w:w="1788"/>
        <w:gridCol w:w="3186"/>
        <w:gridCol w:w="1788"/>
        <w:gridCol w:w="2254"/>
      </w:tblGrid>
      <w:tr w:rsidR="17690321" w:rsidTr="17690321" w14:paraId="5C7AA6B0">
        <w:trPr>
          <w:trHeight w:val="300"/>
        </w:trPr>
        <w:tc>
          <w:tcPr>
            <w:tcW w:w="1788"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49EBF604" w14:textId="35B142EB">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Szenario</w:t>
            </w:r>
          </w:p>
        </w:tc>
        <w:tc>
          <w:tcPr>
            <w:tcW w:w="3186"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59A36F1A" w14:textId="52ADADC4">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Architektur / Traffic-Pfad</w:t>
            </w:r>
          </w:p>
        </w:tc>
        <w:tc>
          <w:tcPr>
            <w:tcW w:w="1788"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3E0473A8" w14:textId="1A340A19">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Kostenbewertung</w:t>
            </w:r>
          </w:p>
        </w:tc>
        <w:tc>
          <w:tcPr>
            <w:tcW w:w="2254"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2D0807CE" w14:textId="322F9BF5">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Fazit</w:t>
            </w:r>
          </w:p>
        </w:tc>
      </w:tr>
      <w:tr w:rsidR="17690321" w:rsidTr="17690321" w14:paraId="009FB540">
        <w:trPr>
          <w:trHeight w:val="300"/>
        </w:trPr>
        <w:tc>
          <w:tcPr>
            <w:tcW w:w="1788"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1C07A038" w14:textId="51910B21">
            <w:pPr>
              <w:bidi w:val="0"/>
              <w:spacing w:before="0" w:beforeAutospacing="off" w:after="60" w:afterAutospacing="off"/>
            </w:pPr>
            <w:r w:rsidRPr="17690321" w:rsidR="17690321">
              <w:rPr>
                <w:rFonts w:ascii="Barlow" w:hAnsi="Barlow" w:eastAsia="Barlow" w:cs="Barlow"/>
                <w:color w:val="3F3E3E"/>
                <w:sz w:val="16"/>
                <w:szCs w:val="16"/>
              </w:rPr>
              <w:t>Kommunikation innerhalb eines Workloads</w:t>
            </w:r>
          </w:p>
        </w:tc>
        <w:tc>
          <w:tcPr>
            <w:tcW w:w="3186"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33B8183E" w14:textId="31E093CE">
            <w:pPr>
              <w:bidi w:val="0"/>
              <w:spacing w:before="0" w:beforeAutospacing="off" w:after="60" w:afterAutospacing="off"/>
            </w:pPr>
            <w:r w:rsidRPr="17690321" w:rsidR="17690321">
              <w:rPr>
                <w:rFonts w:ascii="Barlow" w:hAnsi="Barlow" w:eastAsia="Barlow" w:cs="Barlow"/>
                <w:color w:val="3F3E3E"/>
                <w:sz w:val="16"/>
                <w:szCs w:val="16"/>
              </w:rPr>
              <w:t>App-Server und Datenbank liegen in derselben Workload-Subscription und im selben VNet. Der Traffic verlässt das VNet nicht.</w:t>
            </w:r>
          </w:p>
        </w:tc>
        <w:tc>
          <w:tcPr>
            <w:tcW w:w="1788"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30EA6108" w14:textId="195C4559">
            <w:pPr>
              <w:bidi w:val="0"/>
              <w:spacing w:before="0" w:beforeAutospacing="off" w:after="60" w:afterAutospacing="off"/>
            </w:pPr>
            <w:r w:rsidRPr="17690321" w:rsidR="17690321">
              <w:rPr>
                <w:rFonts w:ascii="Barlow" w:hAnsi="Barlow" w:eastAsia="Barlow" w:cs="Barlow"/>
                <w:b w:val="1"/>
                <w:bCs w:val="1"/>
                <w:color w:val="3F3E3E"/>
                <w:sz w:val="16"/>
                <w:szCs w:val="16"/>
              </w:rPr>
              <w:t>0,00 €</w:t>
            </w:r>
          </w:p>
        </w:tc>
        <w:tc>
          <w:tcPr>
            <w:tcW w:w="2254"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7B8622EB" w14:textId="796EDEB4">
            <w:pPr>
              <w:bidi w:val="0"/>
              <w:spacing w:before="0" w:beforeAutospacing="off" w:after="60" w:afterAutospacing="off"/>
            </w:pPr>
            <w:r w:rsidRPr="17690321" w:rsidR="17690321">
              <w:rPr>
                <w:rFonts w:ascii="Barlow" w:hAnsi="Barlow" w:eastAsia="Barlow" w:cs="Barlow"/>
                <w:color w:val="3F3E3E"/>
                <w:sz w:val="16"/>
                <w:szCs w:val="16"/>
              </w:rPr>
              <w:t>Für den Großteil des anwendungsinternen Traffics entstehen keine Peering-Kosten.</w:t>
            </w:r>
          </w:p>
        </w:tc>
      </w:tr>
      <w:tr w:rsidR="17690321" w:rsidTr="17690321" w14:paraId="4CC593CE">
        <w:trPr>
          <w:trHeight w:val="300"/>
        </w:trPr>
        <w:tc>
          <w:tcPr>
            <w:tcW w:w="1788"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795E6180" w14:textId="4E1EF299">
            <w:pPr>
              <w:bidi w:val="0"/>
              <w:spacing w:before="0" w:beforeAutospacing="off" w:after="60" w:afterAutospacing="off"/>
            </w:pPr>
            <w:r w:rsidRPr="17690321" w:rsidR="17690321">
              <w:rPr>
                <w:rFonts w:ascii="Barlow" w:hAnsi="Barlow" w:eastAsia="Barlow" w:cs="Barlow"/>
                <w:color w:val="3F3E3E"/>
                <w:sz w:val="16"/>
                <w:szCs w:val="16"/>
              </w:rPr>
              <w:t>Kommunikation mit dem Domain Controller</w:t>
            </w:r>
          </w:p>
        </w:tc>
        <w:tc>
          <w:tcPr>
            <w:tcW w:w="3186"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46A04705" w14:textId="3FF6C21E">
            <w:pPr>
              <w:bidi w:val="0"/>
              <w:spacing w:before="0" w:beforeAutospacing="off" w:after="60" w:afterAutospacing="off"/>
            </w:pPr>
            <w:r w:rsidRPr="17690321" w:rsidR="17690321">
              <w:rPr>
                <w:rFonts w:ascii="Barlow" w:hAnsi="Barlow" w:eastAsia="Barlow" w:cs="Barlow"/>
                <w:color w:val="3F3E3E"/>
                <w:sz w:val="16"/>
                <w:szCs w:val="16"/>
              </w:rPr>
              <w:t>Eine Anwendung im Workload-Spoke authentifiziert sich am Domain Controller in der Identity Subscription. Der Traffic verläuft über Workload Spoke -&gt; Hub -&gt; Identity Spoke und durchquert damit zwei Peering-Verbindungen.</w:t>
            </w:r>
          </w:p>
        </w:tc>
        <w:tc>
          <w:tcPr>
            <w:tcW w:w="1788"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0FA2FDBA" w14:textId="71EB146A">
            <w:pPr>
              <w:bidi w:val="0"/>
              <w:spacing w:before="0" w:beforeAutospacing="off" w:after="60" w:afterAutospacing="off"/>
            </w:pPr>
            <w:r w:rsidRPr="17690321" w:rsidR="17690321">
              <w:rPr>
                <w:rFonts w:ascii="Barlow" w:hAnsi="Barlow" w:eastAsia="Barlow" w:cs="Barlow"/>
                <w:color w:val="3F3E3E"/>
                <w:sz w:val="16"/>
                <w:szCs w:val="16"/>
              </w:rPr>
              <w:t xml:space="preserve">Bei 15 GB/Monat: 15 GB × 0,02 €/GB  (Hin- und Rückweg)= </w:t>
            </w:r>
            <w:r w:rsidRPr="17690321" w:rsidR="17690321">
              <w:rPr>
                <w:rFonts w:ascii="Barlow" w:hAnsi="Barlow" w:eastAsia="Barlow" w:cs="Barlow"/>
                <w:b w:val="1"/>
                <w:bCs w:val="1"/>
                <w:color w:val="3F3E3E"/>
                <w:sz w:val="16"/>
                <w:szCs w:val="16"/>
              </w:rPr>
              <w:t>0,30 € pro Monat</w:t>
            </w:r>
            <w:r w:rsidRPr="17690321" w:rsidR="17690321">
              <w:rPr>
                <w:rFonts w:ascii="Barlow" w:hAnsi="Barlow" w:eastAsia="Barlow" w:cs="Barlow"/>
                <w:color w:val="3F3E3E"/>
                <w:sz w:val="16"/>
                <w:szCs w:val="16"/>
              </w:rPr>
              <w:t xml:space="preserve">. Der initiale Worst-Case von 500 GB/Monat läge bei ca. </w:t>
            </w:r>
            <w:r w:rsidRPr="17690321" w:rsidR="17690321">
              <w:rPr>
                <w:rFonts w:ascii="Barlow" w:hAnsi="Barlow" w:eastAsia="Barlow" w:cs="Barlow"/>
                <w:b w:val="1"/>
                <w:bCs w:val="1"/>
                <w:color w:val="3F3E3E"/>
                <w:sz w:val="16"/>
                <w:szCs w:val="16"/>
              </w:rPr>
              <w:t>10,00 € pro Monat</w:t>
            </w:r>
            <w:r w:rsidRPr="17690321" w:rsidR="17690321">
              <w:rPr>
                <w:rFonts w:ascii="Barlow" w:hAnsi="Barlow" w:eastAsia="Barlow" w:cs="Barlow"/>
                <w:color w:val="3F3E3E"/>
                <w:sz w:val="16"/>
                <w:szCs w:val="16"/>
              </w:rPr>
              <w:t>.</w:t>
            </w:r>
          </w:p>
        </w:tc>
        <w:tc>
          <w:tcPr>
            <w:tcW w:w="2254"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6399C846" w14:textId="2EBE02B8">
            <w:pPr>
              <w:bidi w:val="0"/>
              <w:spacing w:before="0" w:beforeAutospacing="off" w:after="60" w:afterAutospacing="off"/>
            </w:pPr>
            <w:r w:rsidRPr="17690321" w:rsidR="17690321">
              <w:rPr>
                <w:rFonts w:ascii="Barlow" w:hAnsi="Barlow" w:eastAsia="Barlow" w:cs="Barlow"/>
                <w:color w:val="3F3E3E"/>
                <w:sz w:val="16"/>
                <w:szCs w:val="16"/>
              </w:rPr>
              <w:t>Die realistischen Peering-Kosten für zentrale Dienste liegen im Cent-Bereich pro Anwendung und Monat und sind kein entscheidender Kostenfaktor gegen granulare Segmentierung.</w:t>
            </w:r>
          </w:p>
        </w:tc>
      </w:tr>
    </w:tbl>
    <w:p xmlns:wp14="http://schemas.microsoft.com/office/word/2010/wordml" w:rsidP="17690321" wp14:paraId="736228BD" wp14:textId="1A282D5E">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2094A34F" wp14:textId="7E79F762">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5C649191" wp14:textId="443476E8">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7BB97593" wp14:textId="31726E7F">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5782DB49" wp14:textId="1E0BA38D">
      <w:pPr>
        <w:bidi w:val="0"/>
        <w:spacing w:before="0" w:beforeAutospacing="off" w:after="160" w:afterAutospacing="off" w:line="326" w:lineRule="auto"/>
        <w:rPr>
          <w:rFonts w:ascii="Barlow" w:hAnsi="Barlow" w:eastAsia="Barlow" w:cs="Barlow"/>
          <w:b w:val="1"/>
          <w:bCs w:val="1"/>
          <w:noProof w:val="0"/>
          <w:color w:val="3F3E3E"/>
          <w:sz w:val="22"/>
          <w:szCs w:val="22"/>
          <w:lang w:val="de-DE"/>
        </w:rPr>
      </w:pPr>
    </w:p>
    <w:p xmlns:wp14="http://schemas.microsoft.com/office/word/2010/wordml" w:rsidP="17690321" wp14:paraId="1F26D1EF" wp14:textId="75C55FE9">
      <w:pPr>
        <w:bidi w:val="0"/>
        <w:spacing w:before="0" w:beforeAutospacing="off" w:after="160" w:afterAutospacing="off" w:line="326" w:lineRule="auto"/>
        <w:rPr>
          <w:rFonts w:ascii="Barlow" w:hAnsi="Barlow" w:eastAsia="Barlow" w:cs="Barlow"/>
          <w:b w:val="1"/>
          <w:bCs w:val="1"/>
          <w:noProof w:val="0"/>
          <w:color w:val="3F3E3E"/>
          <w:sz w:val="22"/>
          <w:szCs w:val="22"/>
          <w:lang w:val="de-DE"/>
        </w:rPr>
      </w:pPr>
    </w:p>
    <w:p xmlns:wp14="http://schemas.microsoft.com/office/word/2010/wordml" w:rsidP="17690321" wp14:paraId="4617E2D9" wp14:textId="2E16E65E">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 xml:space="preserve"> </w:t>
      </w:r>
    </w:p>
    <w:p xmlns:wp14="http://schemas.microsoft.com/office/word/2010/wordml" w:rsidP="17690321" wp14:paraId="7B612DBF" wp14:textId="3C58E55E">
      <w:pPr>
        <w:bidi w:val="0"/>
        <w:spacing w:before="0" w:beforeAutospacing="off" w:after="160" w:afterAutospacing="off" w:line="326" w:lineRule="auto"/>
      </w:pPr>
      <w:r w:rsidRPr="17690321" w:rsidR="1E64E9DC">
        <w:rPr>
          <w:rFonts w:ascii="Barlow" w:hAnsi="Barlow" w:eastAsia="Barlow" w:cs="Barlow"/>
          <w:b w:val="1"/>
          <w:bCs w:val="1"/>
          <w:noProof w:val="0"/>
          <w:color w:val="3F3E3E"/>
          <w:sz w:val="22"/>
          <w:szCs w:val="22"/>
          <w:lang w:val="de-DE"/>
        </w:rPr>
        <w:t>Gegenüberstellung: Der Trade-off zwischen direkten und indirekten Kosten</w:t>
      </w:r>
    </w:p>
    <w:tbl>
      <w:tblPr>
        <w:tblStyle w:val="TableGrid"/>
        <w:bidiVisual w:val="0"/>
        <w:tblW w:w="0" w:type="auto"/>
        <w:tblLook w:val="04A0" w:firstRow="1" w:lastRow="0" w:firstColumn="1" w:lastColumn="0" w:noHBand="0" w:noVBand="1"/>
      </w:tblPr>
      <w:tblGrid>
        <w:gridCol w:w="3005"/>
        <w:gridCol w:w="3005"/>
        <w:gridCol w:w="3005"/>
      </w:tblGrid>
      <w:tr w:rsidR="17690321" w:rsidTr="17690321" w14:paraId="754E9CD5">
        <w:trPr>
          <w:trHeight w:val="300"/>
        </w:trPr>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553E1733" w14:textId="1AF31DEC">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Kostenart</w:t>
            </w:r>
          </w:p>
        </w:tc>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344F7D56" w14:textId="2A867131">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Aktueller Ansatz ("Sammel-Spokes")</w:t>
            </w:r>
          </w:p>
        </w:tc>
        <w:tc>
          <w:tcPr>
            <w:tcW w:w="3005"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56A6489B" w14:textId="1775F20B">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Empfohlener Ansatz ("Anwendungs-Spokes")</w:t>
            </w:r>
          </w:p>
        </w:tc>
      </w:tr>
      <w:tr w:rsidR="17690321" w:rsidTr="17690321" w14:paraId="27EEDFC5">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51EAF5F3" w14:textId="79665A07">
            <w:pPr>
              <w:bidi w:val="0"/>
              <w:spacing w:before="0" w:beforeAutospacing="off" w:after="60" w:afterAutospacing="off"/>
            </w:pPr>
            <w:r w:rsidRPr="17690321" w:rsidR="17690321">
              <w:rPr>
                <w:rFonts w:ascii="Barlow" w:hAnsi="Barlow" w:eastAsia="Barlow" w:cs="Barlow"/>
                <w:color w:val="3F3E3E"/>
                <w:sz w:val="16"/>
                <w:szCs w:val="16"/>
              </w:rPr>
              <w:t>Direkte Kosten (Peering)</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4D5AC455" w14:textId="2A3DA651">
            <w:pPr>
              <w:bidi w:val="0"/>
              <w:spacing w:before="0" w:beforeAutospacing="off" w:after="60" w:afterAutospacing="off"/>
            </w:pPr>
            <w:r w:rsidRPr="17690321" w:rsidR="17690321">
              <w:rPr>
                <w:rFonts w:ascii="Barlow" w:hAnsi="Barlow" w:eastAsia="Barlow" w:cs="Barlow"/>
                <w:color w:val="3F3E3E"/>
                <w:sz w:val="16"/>
                <w:szCs w:val="16"/>
              </w:rPr>
              <w:t>Baseline: Kosten für Traffic zu zentralen Diensten (Hub/Identity) fallen an. Traffic zwischen Apps im selben Spoke ist kostenlos.</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3B5C7127" w14:textId="22A5753D">
            <w:pPr>
              <w:bidi w:val="0"/>
              <w:spacing w:before="0" w:beforeAutospacing="off" w:after="60" w:afterAutospacing="off"/>
            </w:pPr>
            <w:r w:rsidRPr="17690321" w:rsidR="17690321">
              <w:rPr>
                <w:rFonts w:ascii="Barlow" w:hAnsi="Barlow" w:eastAsia="Barlow" w:cs="Barlow"/>
                <w:color w:val="3F3E3E"/>
                <w:sz w:val="16"/>
                <w:szCs w:val="16"/>
              </w:rPr>
              <w:t>Inkrementell höher: Identische Baseline-Kosten + zusätzliche, doppelte Peering-Kosten für App-zu-App-Traffic, der nun über den Hub geleitet werden muss.</w:t>
            </w:r>
          </w:p>
        </w:tc>
      </w:tr>
      <w:tr w:rsidR="17690321" w:rsidTr="17690321" w14:paraId="08022CA5">
        <w:trPr>
          <w:trHeight w:val="300"/>
        </w:trPr>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3C1DD7B8" w14:textId="7F37E85F">
            <w:pPr>
              <w:bidi w:val="0"/>
              <w:spacing w:before="0" w:beforeAutospacing="off" w:after="60" w:afterAutospacing="off"/>
            </w:pPr>
            <w:r w:rsidRPr="17690321" w:rsidR="17690321">
              <w:rPr>
                <w:rFonts w:ascii="Barlow" w:hAnsi="Barlow" w:eastAsia="Barlow" w:cs="Barlow"/>
                <w:color w:val="3F3E3E"/>
                <w:sz w:val="16"/>
                <w:szCs w:val="16"/>
              </w:rPr>
              <w:t>Indirekte Kosten (Risiken)</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45E8074A" w14:textId="4CF821BB">
            <w:pPr>
              <w:bidi w:val="0"/>
              <w:spacing w:before="0" w:beforeAutospacing="off" w:after="60" w:afterAutospacing="off"/>
            </w:pPr>
            <w:r w:rsidRPr="17690321" w:rsidR="17690321">
              <w:rPr>
                <w:rFonts w:ascii="Barlow" w:hAnsi="Barlow" w:eastAsia="Barlow" w:cs="Barlow"/>
                <w:color w:val="3F3E3E"/>
                <w:sz w:val="16"/>
                <w:szCs w:val="16"/>
              </w:rPr>
              <w:t>Hoch: Ein Sicherheitsvorfall oder Ressourcen-Engpass (Limits) in einer Anwendung kann sich auf alle anderen Anwendungen in derselben Subscription ausbreiten.</w:t>
            </w:r>
          </w:p>
        </w:tc>
        <w:tc>
          <w:tcPr>
            <w:tcW w:w="3005"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22857215" w14:textId="785CC3C3">
            <w:pPr>
              <w:bidi w:val="0"/>
              <w:spacing w:before="0" w:beforeAutospacing="off" w:after="60" w:afterAutospacing="off"/>
            </w:pPr>
            <w:r w:rsidRPr="17690321" w:rsidR="17690321">
              <w:rPr>
                <w:rFonts w:ascii="Barlow" w:hAnsi="Barlow" w:eastAsia="Barlow" w:cs="Barlow"/>
                <w:color w:val="3F3E3E"/>
                <w:sz w:val="16"/>
                <w:szCs w:val="16"/>
              </w:rPr>
              <w:t>Niedrig: Ein Vorfall ist auf genau eine Anwendung beschränkt. Das Geschäftsrisiko ist massiv reduziert.</w:t>
            </w:r>
          </w:p>
        </w:tc>
      </w:tr>
      <w:tr w:rsidR="17690321" w:rsidTr="17690321" w14:paraId="7E0BF75F">
        <w:trPr>
          <w:trHeight w:val="300"/>
        </w:trPr>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4B65291C" w14:textId="20111E3C">
            <w:pPr>
              <w:bidi w:val="0"/>
              <w:spacing w:before="0" w:beforeAutospacing="off" w:after="60" w:afterAutospacing="off"/>
            </w:pPr>
            <w:r w:rsidRPr="17690321" w:rsidR="17690321">
              <w:rPr>
                <w:rFonts w:ascii="Barlow" w:hAnsi="Barlow" w:eastAsia="Barlow" w:cs="Barlow"/>
                <w:color w:val="3F3E3E"/>
                <w:sz w:val="16"/>
                <w:szCs w:val="16"/>
              </w:rPr>
              <w:t>Indirekte Kosten (Aufwand)</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06F2D48F" w14:textId="3D0AB861">
            <w:pPr>
              <w:bidi w:val="0"/>
              <w:spacing w:before="0" w:beforeAutospacing="off" w:after="60" w:afterAutospacing="off"/>
            </w:pPr>
            <w:r w:rsidRPr="17690321" w:rsidR="17690321">
              <w:rPr>
                <w:rFonts w:ascii="Barlow" w:hAnsi="Barlow" w:eastAsia="Barlow" w:cs="Barlow"/>
                <w:color w:val="3F3E3E"/>
                <w:sz w:val="16"/>
                <w:szCs w:val="16"/>
              </w:rPr>
              <w:t>Hoch: Permanenter Aufwand für die Verwaltung großer Terraform-States und die mühsame Kostenanalyse per Tagging.</w:t>
            </w:r>
          </w:p>
        </w:tc>
        <w:tc>
          <w:tcPr>
            <w:tcW w:w="3005"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411F744E" w14:textId="7F95DE42">
            <w:pPr>
              <w:bidi w:val="0"/>
              <w:spacing w:before="0" w:beforeAutospacing="off" w:after="60" w:afterAutospacing="off"/>
            </w:pPr>
            <w:r w:rsidRPr="17690321" w:rsidR="17690321">
              <w:rPr>
                <w:rFonts w:ascii="Barlow" w:hAnsi="Barlow" w:eastAsia="Barlow" w:cs="Barlow"/>
                <w:color w:val="3F3E3E"/>
                <w:sz w:val="16"/>
                <w:szCs w:val="16"/>
              </w:rPr>
              <w:t>Niedrig: Geringer operativer Aufwand durch kleine, unabhängige IaC-Workflows und native Kostentransparenz pro Anwendung.</w:t>
            </w:r>
          </w:p>
        </w:tc>
      </w:tr>
    </w:tbl>
    <w:p xmlns:wp14="http://schemas.microsoft.com/office/word/2010/wordml" w:rsidP="17690321" wp14:paraId="665BCC59" wp14:textId="7AFCD706">
      <w:pPr>
        <w:bidi w:val="0"/>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p xmlns:wp14="http://schemas.microsoft.com/office/word/2010/wordml" w:rsidP="17690321" wp14:paraId="1AF68805" wp14:textId="31CBCF52">
      <w:pPr>
        <w:bidi w:val="0"/>
        <w:spacing w:before="0" w:beforeAutospacing="off" w:after="120" w:afterAutospacing="off"/>
        <w:jc w:val="both"/>
      </w:pPr>
      <w:r w:rsidRPr="17690321" w:rsidR="1E64E9DC">
        <w:rPr>
          <w:rFonts w:ascii="Barlow" w:hAnsi="Barlow" w:eastAsia="Barlow" w:cs="Barlow"/>
          <w:b w:val="1"/>
          <w:bCs w:val="1"/>
          <w:noProof w:val="0"/>
          <w:color w:val="3F3E3E"/>
          <w:sz w:val="22"/>
          <w:szCs w:val="22"/>
          <w:lang w:val="de-DE"/>
        </w:rPr>
        <w:t>Fazit zur Kostenanalyse:</w:t>
      </w:r>
      <w:r w:rsidRPr="17690321" w:rsidR="1E64E9DC">
        <w:rPr>
          <w:rFonts w:ascii="Barlow" w:hAnsi="Barlow" w:eastAsia="Barlow" w:cs="Barlow"/>
          <w:noProof w:val="0"/>
          <w:color w:val="3F3E3E"/>
          <w:sz w:val="22"/>
          <w:szCs w:val="22"/>
          <w:lang w:val="de-DE"/>
        </w:rPr>
        <w:t xml:space="preserve"> Der empfohlene Ansatz führt zu potenziell höheren, aber weiterhin geringen und planbaren direkten Kosten für die App-zu-App-Kommunikation. Dieser bewusste Trade-off finanziert die deutliche Reduktion von indirekten Kosten und Risiken: geringeren Betriebsaufwand, robustere Deployments, eine verbesserte Kostentransparenz sowie einen deutlich reduzierten „Blast Radius“ im Falle von Sicherheits- oder Betriebsvorfällen. </w:t>
      </w:r>
    </w:p>
    <w:p xmlns:wp14="http://schemas.microsoft.com/office/word/2010/wordml" w:rsidP="17690321" wp14:paraId="37F137A0" wp14:textId="739AC260">
      <w:pPr>
        <w:bidi w:val="0"/>
        <w:spacing w:before="0" w:beforeAutospacing="off" w:after="120" w:afterAutospacing="off"/>
        <w:jc w:val="both"/>
      </w:pPr>
      <w:r w:rsidRPr="17690321" w:rsidR="1E64E9DC">
        <w:rPr>
          <w:rFonts w:ascii="Barlow" w:hAnsi="Barlow" w:eastAsia="Barlow" w:cs="Barlow"/>
          <w:noProof w:val="0"/>
          <w:color w:val="3F3E3E"/>
          <w:sz w:val="22"/>
          <w:szCs w:val="22"/>
          <w:lang w:val="de-DE"/>
        </w:rPr>
        <w:t xml:space="preserve">Für Anwendungslandschaften mit besonders hohem Kommunikationsaufkommen zwischen mehreren Komponenten kann zudem eine gemeinsame Platzierung innerhalb derselben </w:t>
      </w:r>
      <w:r w:rsidRPr="17690321" w:rsidR="1E64E9DC">
        <w:rPr>
          <w:rFonts w:ascii="Barlow" w:hAnsi="Barlow" w:eastAsia="Barlow" w:cs="Barlow"/>
          <w:noProof w:val="0"/>
          <w:color w:val="3F3E3E"/>
          <w:sz w:val="22"/>
          <w:szCs w:val="22"/>
          <w:lang w:val="de-DE"/>
        </w:rPr>
        <w:t>Subscription</w:t>
      </w:r>
      <w:r w:rsidRPr="17690321" w:rsidR="1E64E9DC">
        <w:rPr>
          <w:rFonts w:ascii="Barlow" w:hAnsi="Barlow" w:eastAsia="Barlow" w:cs="Barlow"/>
          <w:noProof w:val="0"/>
          <w:color w:val="3F3E3E"/>
          <w:sz w:val="22"/>
          <w:szCs w:val="22"/>
          <w:lang w:val="de-DE"/>
        </w:rPr>
        <w:t xml:space="preserve"> bzw. desselben Workload-Spokes geprüft werden, um Netzwerk- und Transitkosten zu minimieren, ohne die grundlegenden Architekturprinzipien zu verlassen.</w:t>
      </w:r>
    </w:p>
    <w:p xmlns:wp14="http://schemas.microsoft.com/office/word/2010/wordml" w:rsidP="17690321" wp14:paraId="7F817AC3" wp14:textId="66EAB201">
      <w:pPr>
        <w:pStyle w:val="Heading2"/>
        <w:bidi w:val="0"/>
        <w:spacing w:before="240" w:beforeAutospacing="off" w:after="120" w:afterAutospacing="off" w:line="326" w:lineRule="auto"/>
      </w:pPr>
      <w:r w:rsidRPr="17690321" w:rsidR="1E64E9DC">
        <w:rPr>
          <w:rFonts w:ascii="Arial" w:hAnsi="Arial" w:eastAsia="Arial" w:cs="Arial"/>
          <w:b w:val="0"/>
          <w:bCs w:val="0"/>
          <w:caps w:val="1"/>
          <w:noProof w:val="0"/>
          <w:color w:val="3F3E3E"/>
          <w:sz w:val="32"/>
          <w:szCs w:val="32"/>
          <w:lang w:val="de-DE"/>
        </w:rPr>
        <w:t>4. Ausrichtung an Microsoft Frameworks</w:t>
      </w:r>
    </w:p>
    <w:p xmlns:wp14="http://schemas.microsoft.com/office/word/2010/wordml" w:rsidP="17690321" wp14:paraId="307B2EC3" wp14:textId="04C4EDB8">
      <w:pPr>
        <w:bidi w:val="0"/>
        <w:spacing w:before="0" w:beforeAutospacing="off" w:after="120" w:afterAutospacing="off"/>
        <w:jc w:val="both"/>
      </w:pPr>
      <w:r w:rsidRPr="17690321" w:rsidR="1E64E9DC">
        <w:rPr>
          <w:rFonts w:ascii="Barlow" w:hAnsi="Barlow" w:eastAsia="Barlow" w:cs="Barlow"/>
          <w:noProof w:val="0"/>
          <w:color w:val="3F3E3E"/>
          <w:sz w:val="22"/>
          <w:szCs w:val="22"/>
          <w:lang w:val="de-DE"/>
        </w:rPr>
        <w:t>Der empfohlene Ansatz setzt die Design-Prinzipien des Cloud Adoption Frameworks und des Well Architected Frameworks für Azure Landing Zones konsequent um. Die dort empfohlene Subscription Democratization ermöglicht Skalierung, Governance und Sicherheit durch klar getrennte Verantwortungs- und Isolationsgrenzen.</w:t>
      </w:r>
    </w:p>
    <w:p xmlns:wp14="http://schemas.microsoft.com/office/word/2010/wordml" w:rsidP="17690321" wp14:paraId="3C382A1D" wp14:textId="655EDB69">
      <w:pPr>
        <w:bidi w:val="0"/>
        <w:spacing w:before="0" w:beforeAutospacing="off" w:after="120" w:afterAutospacing="off"/>
      </w:pPr>
      <w:r w:rsidRPr="17690321" w:rsidR="1E64E9DC">
        <w:rPr>
          <w:rFonts w:ascii="Barlow" w:hAnsi="Barlow" w:eastAsia="Barlow" w:cs="Barlow"/>
          <w:noProof w:val="0"/>
          <w:color w:val="3F3E3E"/>
          <w:sz w:val="22"/>
          <w:szCs w:val="22"/>
          <w:lang w:val="de-DE"/>
        </w:rPr>
        <w:t xml:space="preserve"> </w:t>
      </w:r>
    </w:p>
    <w:tbl>
      <w:tblPr>
        <w:tblStyle w:val="TableGrid"/>
        <w:bidiVisual w:val="0"/>
        <w:tblW w:w="0" w:type="auto"/>
        <w:tblLook w:val="04A0" w:firstRow="1" w:lastRow="0" w:firstColumn="1" w:lastColumn="0" w:noHBand="0" w:noVBand="1"/>
      </w:tblPr>
      <w:tblGrid>
        <w:gridCol w:w="3133"/>
        <w:gridCol w:w="5882"/>
      </w:tblGrid>
      <w:tr w:rsidR="17690321" w:rsidTr="17690321" w14:paraId="4DE26670">
        <w:trPr>
          <w:trHeight w:val="300"/>
        </w:trPr>
        <w:tc>
          <w:tcPr>
            <w:tcW w:w="3133"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2B3026C2" w14:textId="1CC02396">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WAF-Säule</w:t>
            </w:r>
          </w:p>
        </w:tc>
        <w:tc>
          <w:tcPr>
            <w:tcW w:w="5882" w:type="dxa"/>
            <w:tcBorders>
              <w:top w:val="single" w:color="BCBCBC" w:sz="8"/>
              <w:left w:val="single" w:color="BCBCBC" w:sz="8"/>
              <w:bottom w:val="single" w:color="BCBCBC" w:sz="8"/>
              <w:right w:val="single" w:color="BCBCBC" w:sz="8"/>
            </w:tcBorders>
            <w:shd w:val="clear" w:color="auto" w:fill="FFBE5E"/>
            <w:tcMar>
              <w:top w:w="57" w:type="dxa"/>
              <w:left w:w="108" w:type="dxa"/>
              <w:bottom w:w="57" w:type="dxa"/>
              <w:right w:w="108" w:type="dxa"/>
            </w:tcMar>
            <w:vAlign w:val="top"/>
          </w:tcPr>
          <w:p w:rsidR="17690321" w:rsidP="17690321" w:rsidRDefault="17690321" w14:paraId="71C78C1C" w14:textId="4A5F4AA5">
            <w:pPr>
              <w:bidi w:val="0"/>
              <w:spacing w:before="40" w:beforeAutospacing="off" w:after="120" w:afterAutospacing="off"/>
              <w:jc w:val="both"/>
            </w:pPr>
            <w:r w:rsidRPr="17690321" w:rsidR="17690321">
              <w:rPr>
                <w:rFonts w:ascii="Barlow" w:hAnsi="Barlow" w:eastAsia="Barlow" w:cs="Barlow"/>
                <w:b w:val="0"/>
                <w:bCs w:val="0"/>
                <w:caps w:val="1"/>
                <w:color w:val="777776"/>
                <w:sz w:val="18"/>
                <w:szCs w:val="18"/>
              </w:rPr>
              <w:t>Beitrag des granularen Ansatzes</w:t>
            </w:r>
          </w:p>
        </w:tc>
      </w:tr>
      <w:tr w:rsidR="17690321" w:rsidTr="17690321" w14:paraId="53F54BAB">
        <w:trPr>
          <w:trHeight w:val="300"/>
        </w:trPr>
        <w:tc>
          <w:tcPr>
            <w:tcW w:w="3133"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2443537E" w14:textId="1E1B2B4F">
            <w:pPr>
              <w:bidi w:val="0"/>
              <w:spacing w:before="0" w:beforeAutospacing="off" w:after="60" w:afterAutospacing="off"/>
            </w:pPr>
            <w:r w:rsidRPr="17690321" w:rsidR="17690321">
              <w:rPr>
                <w:rFonts w:ascii="Barlow" w:hAnsi="Barlow" w:eastAsia="Barlow" w:cs="Barlow"/>
                <w:color w:val="3F3E3E"/>
                <w:sz w:val="16"/>
                <w:szCs w:val="16"/>
              </w:rPr>
              <w:t>Sicherheit</w:t>
            </w:r>
          </w:p>
        </w:tc>
        <w:tc>
          <w:tcPr>
            <w:tcW w:w="5882"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635205C0" w14:textId="2A2FE8E3">
            <w:pPr>
              <w:bidi w:val="0"/>
              <w:spacing w:before="0" w:beforeAutospacing="off" w:after="60" w:afterAutospacing="off"/>
            </w:pPr>
            <w:r w:rsidRPr="17690321" w:rsidR="17690321">
              <w:rPr>
                <w:rFonts w:ascii="Barlow" w:hAnsi="Barlow" w:eastAsia="Barlow" w:cs="Barlow"/>
                <w:color w:val="3F3E3E"/>
                <w:sz w:val="16"/>
                <w:szCs w:val="16"/>
              </w:rPr>
              <w:t>Stärkere Isolation und klar begrenzter Zugriff pro Workload.</w:t>
            </w:r>
          </w:p>
        </w:tc>
      </w:tr>
      <w:tr w:rsidR="17690321" w:rsidTr="17690321" w14:paraId="6DEC452F">
        <w:trPr>
          <w:trHeight w:val="300"/>
        </w:trPr>
        <w:tc>
          <w:tcPr>
            <w:tcW w:w="3133"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581C0097" w14:textId="53FD11E7">
            <w:pPr>
              <w:bidi w:val="0"/>
              <w:spacing w:before="0" w:beforeAutospacing="off" w:after="60" w:afterAutospacing="off"/>
            </w:pPr>
            <w:r w:rsidRPr="17690321" w:rsidR="17690321">
              <w:rPr>
                <w:rFonts w:ascii="Barlow" w:hAnsi="Barlow" w:eastAsia="Barlow" w:cs="Barlow"/>
                <w:color w:val="3F3E3E"/>
                <w:sz w:val="16"/>
                <w:szCs w:val="16"/>
              </w:rPr>
              <w:t>Zuverlässigkeit</w:t>
            </w:r>
          </w:p>
        </w:tc>
        <w:tc>
          <w:tcPr>
            <w:tcW w:w="5882"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322DFE0A" w14:textId="3B7D14A3">
            <w:pPr>
              <w:bidi w:val="0"/>
              <w:spacing w:before="0" w:beforeAutospacing="off" w:after="60" w:afterAutospacing="off"/>
            </w:pPr>
            <w:r w:rsidRPr="17690321" w:rsidR="17690321">
              <w:rPr>
                <w:rFonts w:ascii="Barlow" w:hAnsi="Barlow" w:eastAsia="Barlow" w:cs="Barlow"/>
                <w:color w:val="3F3E3E"/>
                <w:sz w:val="16"/>
                <w:szCs w:val="16"/>
              </w:rPr>
              <w:t>Reduzierter Blast Radius bei technischen Fehlern, Fehlkonfigurationen oder Sicherheitsvorfällen.</w:t>
            </w:r>
          </w:p>
        </w:tc>
      </w:tr>
      <w:tr w:rsidR="17690321" w:rsidTr="17690321" w14:paraId="707D2766">
        <w:trPr>
          <w:trHeight w:val="300"/>
        </w:trPr>
        <w:tc>
          <w:tcPr>
            <w:tcW w:w="3133"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4EFC436B" w14:textId="1F46D0D7">
            <w:pPr>
              <w:bidi w:val="0"/>
              <w:spacing w:before="0" w:beforeAutospacing="off" w:after="60" w:afterAutospacing="off"/>
            </w:pPr>
            <w:r w:rsidRPr="17690321" w:rsidR="17690321">
              <w:rPr>
                <w:rFonts w:ascii="Barlow" w:hAnsi="Barlow" w:eastAsia="Barlow" w:cs="Barlow"/>
                <w:color w:val="3F3E3E"/>
                <w:sz w:val="16"/>
                <w:szCs w:val="16"/>
              </w:rPr>
              <w:t>Kostenoptimierung</w:t>
            </w:r>
          </w:p>
        </w:tc>
        <w:tc>
          <w:tcPr>
            <w:tcW w:w="5882"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41343422" w14:textId="5068ADA2">
            <w:pPr>
              <w:bidi w:val="0"/>
              <w:spacing w:before="0" w:beforeAutospacing="off" w:after="60" w:afterAutospacing="off"/>
            </w:pPr>
            <w:r w:rsidRPr="17690321" w:rsidR="17690321">
              <w:rPr>
                <w:rFonts w:ascii="Barlow" w:hAnsi="Barlow" w:eastAsia="Barlow" w:cs="Barlow"/>
                <w:color w:val="3F3E3E"/>
                <w:sz w:val="16"/>
                <w:szCs w:val="16"/>
              </w:rPr>
              <w:t>Native Kostentransparenz pro Anwendung ohne komplexe Tagging-Auswertungen.</w:t>
            </w:r>
          </w:p>
        </w:tc>
      </w:tr>
      <w:tr w:rsidR="17690321" w:rsidTr="17690321" w14:paraId="0AA7837B">
        <w:trPr>
          <w:trHeight w:val="300"/>
        </w:trPr>
        <w:tc>
          <w:tcPr>
            <w:tcW w:w="3133"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154FF15E" w14:textId="00BD598B">
            <w:pPr>
              <w:bidi w:val="0"/>
              <w:spacing w:before="0" w:beforeAutospacing="off" w:after="60" w:afterAutospacing="off"/>
            </w:pPr>
            <w:r w:rsidRPr="17690321" w:rsidR="17690321">
              <w:rPr>
                <w:rFonts w:ascii="Barlow" w:hAnsi="Barlow" w:eastAsia="Barlow" w:cs="Barlow"/>
                <w:color w:val="3F3E3E"/>
                <w:sz w:val="16"/>
                <w:szCs w:val="16"/>
              </w:rPr>
              <w:t>Operative Exzellenz</w:t>
            </w:r>
          </w:p>
        </w:tc>
        <w:tc>
          <w:tcPr>
            <w:tcW w:w="5882" w:type="dxa"/>
            <w:tcBorders>
              <w:top w:val="single" w:color="BCBCBC" w:sz="8"/>
              <w:left w:val="single" w:color="BCBCBC" w:sz="8"/>
              <w:bottom w:val="single" w:color="BCBCBC" w:sz="8"/>
              <w:right w:val="single" w:color="BCBCBC" w:sz="8"/>
            </w:tcBorders>
            <w:shd w:val="clear" w:color="auto" w:fill="FBFBFB"/>
            <w:tcMar>
              <w:top w:w="57" w:type="dxa"/>
              <w:left w:w="108" w:type="dxa"/>
              <w:bottom w:w="57" w:type="dxa"/>
              <w:right w:w="108" w:type="dxa"/>
            </w:tcMar>
            <w:vAlign w:val="top"/>
          </w:tcPr>
          <w:p w:rsidR="17690321" w:rsidP="17690321" w:rsidRDefault="17690321" w14:paraId="50E342DD" w14:textId="20D0D002">
            <w:pPr>
              <w:bidi w:val="0"/>
              <w:spacing w:before="0" w:beforeAutospacing="off" w:after="60" w:afterAutospacing="off"/>
            </w:pPr>
            <w:r w:rsidRPr="17690321" w:rsidR="17690321">
              <w:rPr>
                <w:rFonts w:ascii="Barlow" w:hAnsi="Barlow" w:eastAsia="Barlow" w:cs="Barlow"/>
                <w:color w:val="3F3E3E"/>
                <w:sz w:val="16"/>
                <w:szCs w:val="16"/>
              </w:rPr>
              <w:t>Kleine, unabhängige IaC-States und klar abgegrenzte Verantwortlichkeiten.</w:t>
            </w:r>
          </w:p>
        </w:tc>
      </w:tr>
      <w:tr w:rsidR="17690321" w:rsidTr="17690321" w14:paraId="0ECD858F">
        <w:trPr>
          <w:trHeight w:val="300"/>
        </w:trPr>
        <w:tc>
          <w:tcPr>
            <w:tcW w:w="3133"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3881603C" w14:textId="6F40870D">
            <w:pPr>
              <w:bidi w:val="0"/>
              <w:spacing w:before="0" w:beforeAutospacing="off" w:after="60" w:afterAutospacing="off"/>
            </w:pPr>
            <w:r w:rsidRPr="17690321" w:rsidR="17690321">
              <w:rPr>
                <w:rFonts w:ascii="Barlow" w:hAnsi="Barlow" w:eastAsia="Barlow" w:cs="Barlow"/>
                <w:color w:val="3F3E3E"/>
                <w:sz w:val="16"/>
                <w:szCs w:val="16"/>
              </w:rPr>
              <w:t>Leistungseffizienz</w:t>
            </w:r>
          </w:p>
        </w:tc>
        <w:tc>
          <w:tcPr>
            <w:tcW w:w="5882" w:type="dxa"/>
            <w:tcBorders>
              <w:top w:val="single" w:color="BCBCBC" w:sz="8"/>
              <w:left w:val="single" w:color="BCBCBC" w:sz="8"/>
              <w:bottom w:val="single" w:color="BCBCBC" w:sz="8"/>
              <w:right w:val="single" w:color="BCBCBC" w:sz="8"/>
            </w:tcBorders>
            <w:shd w:val="clear" w:color="auto" w:fill="ECECEC"/>
            <w:tcMar>
              <w:top w:w="57" w:type="dxa"/>
              <w:left w:w="108" w:type="dxa"/>
              <w:bottom w:w="57" w:type="dxa"/>
              <w:right w:w="108" w:type="dxa"/>
            </w:tcMar>
            <w:vAlign w:val="top"/>
          </w:tcPr>
          <w:p w:rsidR="17690321" w:rsidP="17690321" w:rsidRDefault="17690321" w14:paraId="52770DB2" w14:textId="7761F579">
            <w:pPr>
              <w:bidi w:val="0"/>
              <w:spacing w:before="0" w:beforeAutospacing="off" w:after="60" w:afterAutospacing="off"/>
            </w:pPr>
            <w:r w:rsidRPr="17690321" w:rsidR="17690321">
              <w:rPr>
                <w:rFonts w:ascii="Barlow" w:hAnsi="Barlow" w:eastAsia="Barlow" w:cs="Barlow"/>
                <w:color w:val="3F3E3E"/>
                <w:sz w:val="16"/>
                <w:szCs w:val="16"/>
              </w:rPr>
              <w:t>Dedizierte Ressourcen-Kontingente pro Workload und geringere gegenseitige Beeinflussung.</w:t>
            </w:r>
          </w:p>
        </w:tc>
      </w:tr>
    </w:tbl>
    <w:p xmlns:wp14="http://schemas.microsoft.com/office/word/2010/wordml" w:rsidP="17690321" wp14:paraId="4E47C1E7" wp14:textId="6F5D396E">
      <w:pPr>
        <w:pStyle w:val="Normal"/>
        <w:bidi w:val="0"/>
        <w:spacing w:before="0" w:beforeAutospacing="off" w:after="120" w:afterAutospacing="off"/>
        <w:rPr>
          <w:rFonts w:ascii="Barlow" w:hAnsi="Barlow" w:eastAsia="Barlow" w:cs="Barlow"/>
          <w:noProof w:val="0"/>
          <w:color w:val="3F3E3E"/>
          <w:sz w:val="22"/>
          <w:szCs w:val="22"/>
          <w:lang w:val="de-DE"/>
        </w:rPr>
      </w:pPr>
    </w:p>
    <w:sectPr>
      <w:pgSz w:w="11906" w:h="16838" w:orient="portrait"/>
      <w:pgMar w:top="1440" w:right="1440" w:bottom="1440" w:left="1440" w:header="720" w:footer="720" w:gutter="0"/>
      <w:cols w:space="720"/>
      <w:docGrid w:linePitch="360"/>
      <w:headerReference w:type="default" r:id="Rc8c569038aa546a5"/>
      <w:footerReference w:type="default" r:id="R5f0758f4871846a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4980"/>
      <w:gridCol w:w="2190"/>
      <w:gridCol w:w="1845"/>
    </w:tblGrid>
    <w:tr w:rsidR="17690321" w:rsidTr="17690321" w14:paraId="5029AA1A">
      <w:trPr>
        <w:trHeight w:val="300"/>
      </w:trPr>
      <w:tc>
        <w:tcPr>
          <w:tcW w:w="4980" w:type="dxa"/>
          <w:tcMar/>
        </w:tcPr>
        <w:p w:rsidR="17690321" w:rsidP="17690321" w:rsidRDefault="17690321" w14:paraId="3FD01BF2" w14:textId="4F703558">
          <w:pPr>
            <w:bidi w:val="0"/>
            <w:spacing w:before="0" w:beforeAutospacing="off" w:after="0" w:afterAutospacing="off"/>
          </w:pPr>
          <w:r w:rsidRPr="17690321" w:rsidR="17690321">
            <w:rPr>
              <w:rFonts w:ascii="Arial Nova" w:hAnsi="Arial Nova" w:eastAsia="Arial Nova" w:cs="Arial Nova"/>
              <w:noProof w:val="0"/>
              <w:color w:val="3F3E3E"/>
              <w:sz w:val="14"/>
              <w:szCs w:val="14"/>
              <w:lang w:val="de-DE"/>
            </w:rPr>
            <w:t>Author: Matthias Braun | Microsoft MVP Azure</w:t>
          </w:r>
        </w:p>
        <w:p w:rsidR="17690321" w:rsidP="17690321" w:rsidRDefault="17690321" w14:paraId="6F61E229" w14:textId="23AF53DA">
          <w:pPr>
            <w:bidi w:val="0"/>
            <w:spacing w:before="0" w:beforeAutospacing="off" w:after="0" w:afterAutospacing="off"/>
          </w:pPr>
          <w:r w:rsidRPr="17690321" w:rsidR="17690321">
            <w:rPr>
              <w:rFonts w:ascii="Arial Nova" w:hAnsi="Arial Nova" w:eastAsia="Arial Nova" w:cs="Arial Nova"/>
              <w:noProof w:val="0"/>
              <w:color w:val="3F3E3E"/>
              <w:sz w:val="14"/>
              <w:szCs w:val="14"/>
              <w:lang w:val="de-DE"/>
            </w:rPr>
            <w:t>License: CC BY 4.0</w:t>
          </w:r>
        </w:p>
      </w:tc>
      <w:tc>
        <w:tcPr>
          <w:tcW w:w="2190" w:type="dxa"/>
          <w:tcMar/>
        </w:tcPr>
        <w:p w:rsidR="17690321" w:rsidP="17690321" w:rsidRDefault="17690321" w14:paraId="14EA618C" w14:textId="7522489C">
          <w:pPr>
            <w:pStyle w:val="Header"/>
            <w:bidi w:val="0"/>
            <w:jc w:val="center"/>
          </w:pPr>
        </w:p>
      </w:tc>
      <w:tc>
        <w:tcPr>
          <w:tcW w:w="1845" w:type="dxa"/>
          <w:tcMar/>
        </w:tcPr>
        <w:p w:rsidR="17690321" w:rsidP="17690321" w:rsidRDefault="17690321" w14:paraId="5E185EC3" w14:textId="33F455BF">
          <w:pPr>
            <w:pStyle w:val="Header"/>
            <w:bidi w:val="0"/>
            <w:ind w:right="-115"/>
            <w:jc w:val="right"/>
          </w:pPr>
        </w:p>
      </w:tc>
    </w:tr>
  </w:tbl>
  <w:p w:rsidR="17690321" w:rsidP="17690321" w:rsidRDefault="17690321" w14:paraId="6024D4AB" w14:textId="3CECA3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7690321" w:rsidTr="17690321" w14:paraId="1EC8BC67">
      <w:trPr>
        <w:trHeight w:val="300"/>
      </w:trPr>
      <w:tc>
        <w:tcPr>
          <w:tcW w:w="3005" w:type="dxa"/>
          <w:tcMar/>
        </w:tcPr>
        <w:p w:rsidR="17690321" w:rsidP="17690321" w:rsidRDefault="17690321" w14:paraId="4CD905D4" w14:textId="58650C75">
          <w:pPr>
            <w:pStyle w:val="Header"/>
            <w:bidi w:val="0"/>
            <w:ind w:left="-115"/>
            <w:jc w:val="left"/>
          </w:pPr>
        </w:p>
      </w:tc>
      <w:tc>
        <w:tcPr>
          <w:tcW w:w="3005" w:type="dxa"/>
          <w:tcMar/>
        </w:tcPr>
        <w:p w:rsidR="17690321" w:rsidP="17690321" w:rsidRDefault="17690321" w14:paraId="7D9F253F" w14:textId="16FB5BD6">
          <w:pPr>
            <w:pStyle w:val="Header"/>
            <w:bidi w:val="0"/>
            <w:jc w:val="center"/>
          </w:pPr>
        </w:p>
      </w:tc>
      <w:tc>
        <w:tcPr>
          <w:tcW w:w="3005" w:type="dxa"/>
          <w:tcMar/>
        </w:tcPr>
        <w:p w:rsidR="17690321" w:rsidP="17690321" w:rsidRDefault="17690321" w14:paraId="457949E6" w14:textId="1310C011">
          <w:pPr>
            <w:pStyle w:val="Header"/>
            <w:bidi w:val="0"/>
            <w:ind w:right="-115"/>
            <w:jc w:val="right"/>
          </w:pPr>
        </w:p>
      </w:tc>
    </w:tr>
  </w:tbl>
  <w:p w:rsidR="17690321" w:rsidP="17690321" w:rsidRDefault="17690321" w14:paraId="35979F3A" w14:textId="353EEBC5">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FFA924"/>
    <w:rsid w:val="01EC3697"/>
    <w:rsid w:val="02818E0C"/>
    <w:rsid w:val="17690321"/>
    <w:rsid w:val="1E64E9DC"/>
    <w:rsid w:val="52FFA924"/>
    <w:rsid w:val="5B700D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16F83"/>
  <w15:chartTrackingRefBased/>
  <w15:docId w15:val="{D4B5BDAF-F983-4969-BEA0-C42033FE29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769032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1769032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er">
    <w:uiPriority w:val="99"/>
    <w:name w:val="header"/>
    <w:basedOn w:val="Normal"/>
    <w:unhideWhenUsed/>
    <w:rsid w:val="17690321"/>
    <w:pPr>
      <w:tabs>
        <w:tab w:val="center" w:leader="none" w:pos="4680"/>
        <w:tab w:val="right" w:leader="none" w:pos="9360"/>
      </w:tabs>
      <w:spacing w:after="0" w:line="240" w:lineRule="auto"/>
    </w:pPr>
  </w:style>
  <w:style w:type="paragraph" w:styleId="Footer">
    <w:uiPriority w:val="99"/>
    <w:name w:val="footer"/>
    <w:basedOn w:val="Normal"/>
    <w:unhideWhenUsed/>
    <w:rsid w:val="1769032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8c569038aa546a5" /><Relationship Type="http://schemas.openxmlformats.org/officeDocument/2006/relationships/footer" Target="footer.xml" Id="R5f0758f4871846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2026-07-16T05:27:34.9663924Z</dcterms:created>
  <dcterms:modified xsi:type="dcterms:W3CDTF">2026-07-16T05:29:09.6105741Z</dcterms:modified>
  <dc:creator>Matthias Braun</dc:creator>
  <lastModifiedBy>Matthias Braun</lastModifiedBy>
</coreProperties>
</file>