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0"/>
      </w:pPr>
    </w:p>
    <w:p>
      <w:pPr>
        <w:spacing w:before="0" w:after="200"/>
        <w:jc w:val="center"/>
      </w:pPr>
      <w:r>
        <w:rPr>
          <w:b/>
          <w:color w:val="1F3864"/>
          <w:sz w:val="64"/>
        </w:rPr>
        <w:t>Kapitalertrag</w:t>
      </w:r>
    </w:p>
    <w:p>
      <w:pPr>
        <w:spacing w:before="0" w:after="120"/>
        <w:jc w:val="center"/>
      </w:pPr>
      <w:r>
        <w:rPr>
          <w:b w:val="0"/>
          <w:color w:val="2E75B6"/>
          <w:sz w:val="28"/>
        </w:rPr>
        <w:t>Austrian Capital Gains Tax Calculator</w:t>
      </w:r>
    </w:p>
    <w:p>
      <w:pPr>
        <w:spacing w:before="0" w:after="600"/>
        <w:jc w:val="center"/>
      </w:pPr>
      <w:r>
        <w:rPr>
          <w:b w:val="0"/>
          <w:color w:val="404040"/>
          <w:sz w:val="24"/>
        </w:rPr>
        <w:t>Complete Setup &amp; Usage Guide</w:t>
      </w:r>
    </w:p>
    <w:p>
      <w:pPr>
        <w:spacing w:after="160"/>
      </w:pPr>
    </w:p>
    <w:p>
      <w:pPr>
        <w:spacing w:before="0" w:after="80"/>
        <w:jc w:val="center"/>
      </w:pPr>
      <w:r>
        <w:rPr>
          <w:b w:val="0"/>
          <w:color w:val="404040"/>
          <w:sz w:val="20"/>
        </w:rPr>
        <w:t>Version: v0.4.2</w:t>
      </w:r>
    </w:p>
    <w:p>
      <w:pPr>
        <w:spacing w:before="0" w:after="80"/>
        <w:jc w:val="center"/>
      </w:pPr>
      <w:r>
        <w:rPr>
          <w:b w:val="0"/>
          <w:color w:val="404040"/>
          <w:sz w:val="20"/>
        </w:rPr>
        <w:t>Tax jurisdiction: Austria (E1kv / FinanzOnline)</w:t>
      </w:r>
    </w:p>
    <w:p>
      <w:pPr>
        <w:spacing w:after="0"/>
      </w:pPr>
      <w:r>
        <w:br w:type="page"/>
      </w:r>
    </w:p>
    <w:p>
      <w:pPr>
        <w:pStyle w:val="Heading1"/>
      </w:pPr>
      <w:r>
        <w:t>Table of Contents</w:t>
      </w:r>
    </w:p>
    <w:p/>
    <w:p>
      <w:pPr>
        <w:pStyle w:val="ListNumber"/>
      </w:pPr>
      <w:r>
        <w:rPr>
          <w:sz w:val="22"/>
        </w:rPr>
        <w:t>Overview</w:t>
      </w:r>
    </w:p>
    <w:p>
      <w:pPr>
        <w:pStyle w:val="ListNumber"/>
      </w:pPr>
      <w:r>
        <w:rPr>
          <w:sz w:val="22"/>
        </w:rPr>
        <w:t>Prerequisites &amp; Installation</w:t>
      </w:r>
    </w:p>
    <w:p>
      <w:pPr>
        <w:pStyle w:val="ListNumber"/>
      </w:pPr>
      <w:r>
        <w:rPr>
          <w:sz w:val="22"/>
        </w:rPr>
        <w:t>Directory Structure</w:t>
      </w:r>
    </w:p>
    <w:p>
      <w:pPr>
        <w:pStyle w:val="ListNumber"/>
      </w:pPr>
      <w:r>
        <w:rPr>
          <w:sz w:val="22"/>
        </w:rPr>
        <w:t>Per-Person Configuration</w:t>
      </w:r>
    </w:p>
    <w:p>
      <w:pPr>
        <w:pStyle w:val="ListNumber"/>
      </w:pPr>
      <w:r>
        <w:rPr>
          <w:sz w:val="22"/>
        </w:rPr>
        <w:t>Interactive Brokers — Flex Query Setup</w:t>
      </w:r>
    </w:p>
    <w:p>
      <w:pPr>
        <w:pStyle w:val="ListNumber"/>
      </w:pPr>
      <w:r>
        <w:rPr>
          <w:sz w:val="22"/>
        </w:rPr>
        <w:t>Interactive Brokers — Auto-Fetch Setup</w:t>
      </w:r>
    </w:p>
    <w:p>
      <w:pPr>
        <w:pStyle w:val="ListNumber"/>
      </w:pPr>
      <w:r>
        <w:rPr>
          <w:sz w:val="22"/>
        </w:rPr>
        <w:t>SAXO Bank Setup</w:t>
      </w:r>
    </w:p>
    <w:p>
      <w:pPr>
        <w:pStyle w:val="ListNumber"/>
      </w:pPr>
      <w:r>
        <w:rPr>
          <w:sz w:val="22"/>
        </w:rPr>
        <w:t>E*Trade Setup</w:t>
      </w:r>
    </w:p>
    <w:p>
      <w:pPr>
        <w:pStyle w:val="ListNumber"/>
      </w:pPr>
      <w:r>
        <w:rPr>
          <w:sz w:val="22"/>
        </w:rPr>
        <w:t>Running the Tool</w:t>
      </w:r>
    </w:p>
    <w:p>
      <w:pPr>
        <w:pStyle w:val="ListNumber"/>
      </w:pPr>
      <w:r>
        <w:rPr>
          <w:sz w:val="22"/>
        </w:rPr>
        <w:t>Output Files</w:t>
      </w:r>
    </w:p>
    <w:p>
      <w:pPr>
        <w:pStyle w:val="ListNumber"/>
      </w:pPr>
      <w:r>
        <w:rPr>
          <w:sz w:val="22"/>
        </w:rPr>
        <w:t>Nichtmeldefonds (§ 186 InvFG)</w:t>
      </w:r>
    </w:p>
    <w:p>
      <w:pPr>
        <w:pStyle w:val="ListNumber"/>
      </w:pPr>
      <w:r>
        <w:rPr>
          <w:sz w:val="22"/>
        </w:rPr>
        <w:t>Meldefonds (OeKB-registered funds)</w:t>
      </w:r>
    </w:p>
    <w:p>
      <w:pPr>
        <w:pStyle w:val="ListNumber"/>
      </w:pPr>
      <w:r>
        <w:rPr>
          <w:sz w:val="22"/>
        </w:rPr>
        <w:t>WHT Reclaim Report</w:t>
      </w:r>
    </w:p>
    <w:p>
      <w:pPr>
        <w:pStyle w:val="ListNumber"/>
      </w:pPr>
      <w:r>
        <w:rPr>
          <w:sz w:val="22"/>
        </w:rPr>
        <w:t>ANV Deduction Checklist</w:t>
      </w:r>
    </w:p>
    <w:p>
      <w:pPr>
        <w:pStyle w:val="ListNumber"/>
      </w:pPr>
      <w:r>
        <w:rPr>
          <w:sz w:val="22"/>
        </w:rPr>
        <w:t>Household Combined View</w:t>
      </w:r>
    </w:p>
    <w:p>
      <w:pPr>
        <w:pStyle w:val="ListNumber"/>
      </w:pPr>
      <w:r>
        <w:rPr>
          <w:sz w:val="22"/>
        </w:rPr>
        <w:t>Multi-Year FIFO — The Correct Approach</w:t>
      </w:r>
    </w:p>
    <w:p>
      <w:pPr>
        <w:pStyle w:val="ListNumber"/>
      </w:pPr>
      <w:r>
        <w:rPr>
          <w:sz w:val="22"/>
        </w:rPr>
        <w:t>How the Tax Engine Works</w:t>
      </w:r>
    </w:p>
    <w:p>
      <w:pPr>
        <w:pStyle w:val="ListNumber"/>
      </w:pPr>
      <w:r>
        <w:rPr>
          <w:sz w:val="22"/>
        </w:rPr>
        <w:t>Troubleshooting</w:t>
      </w:r>
    </w:p>
    <w:p>
      <w:pPr>
        <w:spacing w:after="0"/>
      </w:pPr>
      <w:r>
        <w:br w:type="page"/>
      </w:r>
    </w:p>
    <w:p>
      <w:pPr>
        <w:pStyle w:val="Heading2"/>
      </w:pPr>
      <w:r>
        <w:t>1. Overview</w:t>
      </w:r>
    </w:p>
    <w:p>
      <w:r>
        <w:t>Kapitalertrag converts broker export files into Austrian tax-ready outputs. It handles FX</w:t>
      </w:r>
    </w:p>
    <w:p>
      <w:r>
        <w:t>conversion (ECB rates), FIFO cost basis matching, withholding tax crediting, Nichtmeldefonds</w:t>
      </w:r>
    </w:p>
    <w:p>
      <w:r>
        <w:t>pauschal-AE calculation, Meldefonds OeKB data, and produces pre-filled E1kv Kennziffern ready</w:t>
      </w:r>
    </w:p>
    <w:p>
      <w:r>
        <w:t>for entry into FinanzOnline.</w:t>
      </w:r>
    </w:p>
    <w:p>
      <w:pPr>
        <w:pStyle w:val="Heading3"/>
      </w:pPr>
      <w:r>
        <w:t>Supported brokers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2E74B5"/>
          </w:tcPr>
          <w:p>
            <w:pPr>
              <w:spacing w:before="60" w:after="60"/>
            </w:pPr>
            <w:r>
              <w:rPr>
                <w:b/>
                <w:color w:val="FFFFFF"/>
                <w:sz w:val="18"/>
              </w:rPr>
              <w:t>Broker</w:t>
            </w:r>
          </w:p>
        </w:tc>
        <w:tc>
          <w:tcPr>
            <w:tcW w:type="dxa" w:w="3120"/>
            <w:shd w:val="clear" w:color="auto" w:fill="2E74B5"/>
          </w:tcPr>
          <w:p>
            <w:pPr>
              <w:spacing w:before="60" w:after="60"/>
            </w:pPr>
            <w:r>
              <w:rPr>
                <w:b/>
                <w:color w:val="FFFFFF"/>
                <w:sz w:val="18"/>
              </w:rPr>
              <w:t>Format</w:t>
            </w:r>
          </w:p>
        </w:tc>
        <w:tc>
          <w:tcPr>
            <w:tcW w:type="dxa" w:w="3120"/>
            <w:shd w:val="clear" w:color="auto" w:fill="2E74B5"/>
          </w:tcPr>
          <w:p>
            <w:pPr>
              <w:spacing w:before="60" w:after="60"/>
            </w:pPr>
            <w:r>
              <w:rPr>
                <w:b/>
                <w:color w:val="FFFFFF"/>
                <w:sz w:val="18"/>
              </w:rPr>
              <w:t>Status</w:t>
            </w:r>
          </w:p>
        </w:tc>
      </w:tr>
      <w:tr>
        <w:tc>
          <w:tcPr>
            <w:tcW w:type="dxa" w:w="3120"/>
          </w:tcPr>
          <w:p>
            <w:pPr>
              <w:spacing w:before="40" w:after="40"/>
            </w:pPr>
            <w:r>
              <w:rPr>
                <w:sz w:val="18"/>
              </w:rPr>
              <w:t>Interactive Brokers (IBKR)</w:t>
            </w:r>
          </w:p>
        </w:tc>
        <w:tc>
          <w:tcPr>
            <w:tcW w:type="dxa" w:w="3120"/>
          </w:tcPr>
          <w:p>
            <w:pPr>
              <w:spacing w:before="40" w:after="40"/>
            </w:pPr>
            <w:r>
              <w:rPr>
                <w:sz w:val="18"/>
              </w:rPr>
              <w:t>Flex Query CSV</w:t>
            </w:r>
          </w:p>
        </w:tc>
        <w:tc>
          <w:tcPr>
            <w:tcW w:type="dxa" w:w="3120"/>
          </w:tcPr>
          <w:p>
            <w:pPr>
              <w:spacing w:before="40" w:after="40"/>
            </w:pPr>
            <w:r>
              <w:rPr>
                <w:sz w:val="18"/>
              </w:rPr>
              <w:t>✅ Full support + auto-fetch</w:t>
            </w:r>
          </w:p>
        </w:tc>
      </w:tr>
      <w:tr>
        <w:tc>
          <w:tcPr>
            <w:tcW w:type="dxa" w:w="3120"/>
            <w:shd w:val="clear" w:color="auto" w:fill="EBF3FB"/>
          </w:tcPr>
          <w:p>
            <w:pPr>
              <w:spacing w:before="40" w:after="40"/>
            </w:pPr>
            <w:r>
              <w:rPr>
                <w:sz w:val="18"/>
              </w:rPr>
              <w:t>SAXO Bank</w:t>
            </w:r>
          </w:p>
        </w:tc>
        <w:tc>
          <w:tcPr>
            <w:tcW w:type="dxa" w:w="3120"/>
            <w:shd w:val="clear" w:color="auto" w:fill="EBF3FB"/>
          </w:tcPr>
          <w:p>
            <w:pPr>
              <w:spacing w:before="40" w:after="40"/>
            </w:pPr>
            <w:r>
              <w:rPr>
                <w:sz w:val="18"/>
              </w:rPr>
              <w:t>AggregatedAmounts xlsx + ShareDividends xlsx + ClosedPositions xlsx</w:t>
            </w:r>
          </w:p>
        </w:tc>
        <w:tc>
          <w:tcPr>
            <w:tcW w:type="dxa" w:w="3120"/>
            <w:shd w:val="clear" w:color="auto" w:fill="EBF3FB"/>
          </w:tcPr>
          <w:p>
            <w:pPr>
              <w:spacing w:before="40" w:after="40"/>
            </w:pPr>
            <w:r>
              <w:rPr>
                <w:sz w:val="18"/>
              </w:rPr>
              <w:t>✅ Full support</w:t>
            </w:r>
          </w:p>
        </w:tc>
      </w:tr>
      <w:tr>
        <w:tc>
          <w:tcPr>
            <w:tcW w:type="dxa" w:w="3120"/>
          </w:tcPr>
          <w:p>
            <w:pPr>
              <w:spacing w:before="40" w:after="40"/>
            </w:pPr>
            <w:r>
              <w:rPr>
                <w:sz w:val="18"/>
              </w:rPr>
              <w:t>E*Trade / Morgan Stanley</w:t>
            </w:r>
          </w:p>
        </w:tc>
        <w:tc>
          <w:tcPr>
            <w:tcW w:type="dxa" w:w="3120"/>
          </w:tcPr>
          <w:p>
            <w:pPr>
              <w:spacing w:before="40" w:after="40"/>
            </w:pPr>
            <w:r>
              <w:rPr>
                <w:sz w:val="18"/>
              </w:rPr>
              <w:t>PDF statements (old + new format)</w:t>
            </w:r>
          </w:p>
        </w:tc>
        <w:tc>
          <w:tcPr>
            <w:tcW w:type="dxa" w:w="3120"/>
          </w:tcPr>
          <w:p>
            <w:pPr>
              <w:spacing w:before="40" w:after="40"/>
            </w:pPr>
            <w:r>
              <w:rPr>
                <w:sz w:val="18"/>
              </w:rPr>
              <w:t>✅ Full support</w:t>
            </w:r>
          </w:p>
        </w:tc>
      </w:tr>
    </w:tbl>
    <w:p/>
    <w:p>
      <w:pPr>
        <w:pStyle w:val="Heading3"/>
      </w:pPr>
      <w:r>
        <w:t>Output Kennziffern (E1kv)</w:t>
      </w:r>
    </w:p>
    <w:tbl>
      <w:tblPr>
        <w:tblStyle w:val="TableGrid"/>
        <w:tblW w:type="auto" w:w="0"/>
        <w:tblLook w:firstColumn="1" w:firstRow="1" w:lastColumn="0" w:lastRow="0" w:noHBand="0" w:noVBand="1" w:val="04A0"/>
      </w:tblPr>
      <w:tblGrid>
        <w:gridCol w:w="4680"/>
        <w:gridCol w:w="4680"/>
      </w:tblGrid>
      <w:tr>
        <w:tc>
          <w:tcPr>
            <w:tcW w:type="dxa" w:w="4680"/>
            <w:shd w:val="clear" w:color="auto" w:fill="2E74B5"/>
          </w:tcPr>
          <w:p>
            <w:pPr>
              <w:spacing w:before="60" w:after="60"/>
            </w:pPr>
            <w:r>
              <w:rPr>
                <w:b/>
                <w:color w:val="FFFFFF"/>
                <w:sz w:val="18"/>
              </w:rPr>
              <w:t>KZ</w:t>
            </w:r>
          </w:p>
        </w:tc>
        <w:tc>
          <w:tcPr>
            <w:tcW w:type="dxa" w:w="4680"/>
            <w:shd w:val="clear" w:color="auto" w:fill="2E74B5"/>
          </w:tcPr>
          <w:p>
            <w:pPr>
              <w:spacing w:before="60" w:after="60"/>
            </w:pPr>
            <w:r>
              <w:rPr>
                <w:b/>
                <w:color w:val="FFFFFF"/>
                <w:sz w:val="18"/>
              </w:rPr>
              <w:t>Description</w:t>
            </w:r>
          </w:p>
        </w:tc>
      </w:tr>
      <w:tr>
        <w:tc>
          <w:tcPr>
            <w:tcW w:type="dxa" w:w="4680"/>
          </w:tcPr>
          <w:p>
            <w:pPr>
              <w:spacing w:before="40" w:after="40"/>
            </w:pPr>
            <w:r>
              <w:rPr>
                <w:sz w:val="18"/>
              </w:rPr>
              <w:t>862</w:t>
            </w:r>
          </w:p>
        </w:tc>
        <w:tc>
          <w:tcPr>
            <w:tcW w:type="dxa" w:w="4680"/>
          </w:tcPr>
          <w:p>
            <w:pPr>
              <w:spacing w:before="40" w:after="40"/>
            </w:pPr>
            <w:r>
              <w:rPr>
                <w:sz w:val="18"/>
              </w:rPr>
              <w:t>Inländische Dividendenerträge (AT-domiciled dividends + interest)</w:t>
            </w:r>
          </w:p>
        </w:tc>
      </w:tr>
      <w:tr>
        <w:tc>
          <w:tcPr>
            <w:tcW w:type="dxa" w:w="4680"/>
            <w:shd w:val="clear" w:color="auto" w:fill="EBF3FB"/>
          </w:tcPr>
          <w:p>
            <w:pPr>
              <w:spacing w:before="40" w:after="40"/>
            </w:pPr>
            <w:r>
              <w:rPr>
                <w:sz w:val="18"/>
              </w:rPr>
              <w:t>863</w:t>
            </w:r>
          </w:p>
        </w:tc>
        <w:tc>
          <w:tcPr>
            <w:tcW w:type="dxa" w:w="4680"/>
            <w:shd w:val="clear" w:color="auto" w:fill="EBF3FB"/>
          </w:tcPr>
          <w:p>
            <w:pPr>
              <w:spacing w:before="40" w:after="40"/>
            </w:pPr>
            <w:r>
              <w:rPr>
                <w:sz w:val="18"/>
              </w:rPr>
              <w:t>Ausländische Dividendenerträge (foreign dividends + interest)</w:t>
            </w:r>
          </w:p>
        </w:tc>
      </w:tr>
      <w:tr>
        <w:tc>
          <w:tcPr>
            <w:tcW w:type="dxa" w:w="4680"/>
          </w:tcPr>
          <w:p>
            <w:pPr>
              <w:spacing w:before="40" w:after="40"/>
            </w:pPr>
            <w:r>
              <w:rPr>
                <w:sz w:val="18"/>
              </w:rPr>
              <w:t>981</w:t>
            </w:r>
          </w:p>
        </w:tc>
        <w:tc>
          <w:tcPr>
            <w:tcW w:type="dxa" w:w="4680"/>
          </w:tcPr>
          <w:p>
            <w:pPr>
              <w:spacing w:before="40" w:after="40"/>
            </w:pPr>
            <w:r>
              <w:rPr>
                <w:sz w:val="18"/>
              </w:rPr>
              <w:t>Inländische Kursgewinne (AT securities, 27.5%)</w:t>
            </w:r>
          </w:p>
        </w:tc>
      </w:tr>
      <w:tr>
        <w:tc>
          <w:tcPr>
            <w:tcW w:type="dxa" w:w="4680"/>
            <w:shd w:val="clear" w:color="auto" w:fill="EBF3FB"/>
          </w:tcPr>
          <w:p>
            <w:pPr>
              <w:spacing w:before="40" w:after="40"/>
            </w:pPr>
            <w:r>
              <w:rPr>
                <w:sz w:val="18"/>
              </w:rPr>
              <w:t>994</w:t>
            </w:r>
          </w:p>
        </w:tc>
        <w:tc>
          <w:tcPr>
            <w:tcW w:type="dxa" w:w="4680"/>
            <w:shd w:val="clear" w:color="auto" w:fill="EBF3FB"/>
          </w:tcPr>
          <w:p>
            <w:pPr>
              <w:spacing w:before="40" w:after="40"/>
            </w:pPr>
            <w:r>
              <w:rPr>
                <w:sz w:val="18"/>
              </w:rPr>
              <w:t>Ausländische Kursgewinne (foreign securities, 27.5%)</w:t>
            </w:r>
          </w:p>
        </w:tc>
      </w:tr>
      <w:tr>
        <w:tc>
          <w:tcPr>
            <w:tcW w:type="dxa" w:w="4680"/>
          </w:tcPr>
          <w:p>
            <w:pPr>
              <w:spacing w:before="40" w:after="40"/>
            </w:pPr>
            <w:r>
              <w:rPr>
                <w:sz w:val="18"/>
              </w:rPr>
              <w:t>891</w:t>
            </w:r>
          </w:p>
        </w:tc>
        <w:tc>
          <w:tcPr>
            <w:tcW w:type="dxa" w:w="4680"/>
          </w:tcPr>
          <w:p>
            <w:pPr>
              <w:spacing w:before="40" w:after="40"/>
            </w:pPr>
            <w:r>
              <w:rPr>
                <w:sz w:val="18"/>
              </w:rPr>
              <w:t>Inländische Kursverluste</w:t>
            </w:r>
          </w:p>
        </w:tc>
      </w:tr>
      <w:tr>
        <w:tc>
          <w:tcPr>
            <w:tcW w:type="dxa" w:w="4680"/>
            <w:shd w:val="clear" w:color="auto" w:fill="EBF3FB"/>
          </w:tcPr>
          <w:p>
            <w:pPr>
              <w:spacing w:before="40" w:after="40"/>
            </w:pPr>
            <w:r>
              <w:rPr>
                <w:sz w:val="18"/>
              </w:rPr>
              <w:t>892</w:t>
            </w:r>
          </w:p>
        </w:tc>
        <w:tc>
          <w:tcPr>
            <w:tcW w:type="dxa" w:w="4680"/>
            <w:shd w:val="clear" w:color="auto" w:fill="EBF3FB"/>
          </w:tcPr>
          <w:p>
            <w:pPr>
              <w:spacing w:before="40" w:after="40"/>
            </w:pPr>
            <w:r>
              <w:rPr>
                <w:sz w:val="18"/>
              </w:rPr>
              <w:t>Ausländische Kursverluste</w:t>
            </w:r>
          </w:p>
        </w:tc>
      </w:tr>
      <w:tr>
        <w:tc>
          <w:tcPr>
            <w:tcW w:type="dxa" w:w="4680"/>
          </w:tcPr>
          <w:p>
            <w:pPr>
              <w:spacing w:before="40" w:after="40"/>
            </w:pPr>
            <w:r>
              <w:rPr>
                <w:sz w:val="18"/>
              </w:rPr>
              <w:t>897/898</w:t>
            </w:r>
          </w:p>
        </w:tc>
        <w:tc>
          <w:tcPr>
            <w:tcW w:type="dxa" w:w="4680"/>
          </w:tcPr>
          <w:p>
            <w:pPr>
              <w:spacing w:before="40" w:after="40"/>
            </w:pPr>
            <w:r>
              <w:rPr>
                <w:sz w:val="18"/>
              </w:rPr>
              <w:t>Ausschüttungen aus Investmentfonds (domestic/foreign)</w:t>
            </w:r>
          </w:p>
        </w:tc>
      </w:tr>
      <w:tr>
        <w:tc>
          <w:tcPr>
            <w:tcW w:type="dxa" w:w="4680"/>
            <w:shd w:val="clear" w:color="auto" w:fill="EBF3FB"/>
          </w:tcPr>
          <w:p>
            <w:pPr>
              <w:spacing w:before="40" w:after="40"/>
            </w:pPr>
            <w:r>
              <w:rPr>
                <w:sz w:val="18"/>
              </w:rPr>
              <w:t>937</w:t>
            </w:r>
          </w:p>
        </w:tc>
        <w:tc>
          <w:tcPr>
            <w:tcW w:type="dxa" w:w="4680"/>
            <w:shd w:val="clear" w:color="auto" w:fill="EBF3FB"/>
          </w:tcPr>
          <w:p>
            <w:pPr>
              <w:spacing w:before="40" w:after="40"/>
            </w:pPr>
            <w:r>
              <w:rPr>
                <w:sz w:val="18"/>
              </w:rPr>
              <w:t>Ausschüttungsgleiche Erträge (auto-calculated for configured Meldefonds + Nichtmeldefonds)</w:t>
            </w:r>
          </w:p>
        </w:tc>
      </w:tr>
      <w:tr>
        <w:tc>
          <w:tcPr>
            <w:tcW w:type="dxa" w:w="4680"/>
          </w:tcPr>
          <w:p>
            <w:pPr>
              <w:spacing w:before="40" w:after="40"/>
            </w:pPr>
            <w:r>
              <w:rPr>
                <w:sz w:val="18"/>
              </w:rPr>
              <w:t>899</w:t>
            </w:r>
          </w:p>
        </w:tc>
        <w:tc>
          <w:tcPr>
            <w:tcW w:type="dxa" w:w="4680"/>
          </w:tcPr>
          <w:p>
            <w:pPr>
              <w:spacing w:before="40" w:after="40"/>
            </w:pPr>
            <w:r>
              <w:rPr>
                <w:sz w:val="18"/>
              </w:rPr>
              <w:t>KESt für inländ. WP im Ausland</w:t>
            </w:r>
          </w:p>
        </w:tc>
      </w:tr>
      <w:tr>
        <w:tc>
          <w:tcPr>
            <w:tcW w:type="dxa" w:w="4680"/>
            <w:shd w:val="clear" w:color="auto" w:fill="EBF3FB"/>
          </w:tcPr>
          <w:p>
            <w:pPr>
              <w:spacing w:before="40" w:after="40"/>
            </w:pPr>
            <w:r>
              <w:rPr>
                <w:sz w:val="18"/>
              </w:rPr>
              <w:t>998</w:t>
            </w:r>
          </w:p>
        </w:tc>
        <w:tc>
          <w:tcPr>
            <w:tcW w:type="dxa" w:w="4680"/>
            <w:shd w:val="clear" w:color="auto" w:fill="EBF3FB"/>
          </w:tcPr>
          <w:p>
            <w:pPr>
              <w:spacing w:before="40" w:after="40"/>
            </w:pPr>
            <w:r>
              <w:rPr>
                <w:sz w:val="18"/>
              </w:rPr>
              <w:t>Anrechenbare ausländische Quellensteuer (creditable WHT, max 15% by treaty)</w:t>
            </w:r>
          </w:p>
        </w:tc>
      </w:tr>
    </w:tbl>
    <w:p/>
    <w:p>
      <w:pPr>
        <w:spacing w:before="40" w:after="40"/>
      </w:pPr>
    </w:p>
    <w:p>
      <w:pPr>
        <w:pStyle w:val="Heading2"/>
      </w:pPr>
      <w:r>
        <w:t>2. Prerequisites &amp; Installation</w:t>
      </w:r>
    </w:p>
    <w:p>
      <w:pPr>
        <w:pStyle w:val="Heading3"/>
      </w:pPr>
      <w:r>
        <w:t>Python 3.11+</w:t>
      </w:r>
    </w:p>
    <w:p>
      <w:pPr>
        <w:shd w:val="clear" w:color="auto" w:fill="F2F2F2"/>
        <w:spacing w:before="80" w:after="120"/>
        <w:ind w:left="288" w:right="288"/>
      </w:pPr>
      <w:r>
        <w:rPr>
          <w:rFonts w:ascii="Courier New" w:hAnsi="Courier New"/>
          <w:color w:val="242424"/>
          <w:sz w:val="17"/>
        </w:rPr>
        <w:t>python3 --version</w:t>
      </w:r>
    </w:p>
    <w:p>
      <w:pPr>
        <w:pStyle w:val="Heading3"/>
      </w:pPr>
      <w:r>
        <w:t>One-time setup</w:t>
      </w:r>
    </w:p>
    <w:p>
      <w:pPr>
        <w:shd w:val="clear" w:color="auto" w:fill="F2F2F2"/>
        <w:spacing w:before="80" w:after="120"/>
        <w:ind w:left="288" w:right="288"/>
      </w:pPr>
      <w:r>
        <w:rPr>
          <w:rFonts w:ascii="Courier New" w:hAnsi="Courier New"/>
          <w:color w:val="242424"/>
          <w:sz w:val="17"/>
        </w:rPr>
        <w:t>cd kapitalertrag</w:t>
        <w:br/>
        <w:t>python3 -m venv .venv</w:t>
        <w:br/>
        <w:t>source .venv/bin/activate        # macOS/Linux</w:t>
        <w:br/>
        <w:t># .venv\Scripts\activate         # Windows</w:t>
        <w:br/>
        <w:br/>
        <w:t>pip install -r requirements.txt</w:t>
      </w:r>
    </w:p>
    <w:p>
      <w:r>
        <w:t xml:space="preserve">Dependencies: </w:t>
      </w:r>
      <w:r>
        <w:rPr>
          <w:rFonts w:ascii="Courier New" w:hAnsi="Courier New"/>
          <w:color w:val="C02040"/>
          <w:sz w:val="20"/>
        </w:rPr>
        <w:t>openpyxl</w:t>
      </w:r>
      <w:r>
        <w:t xml:space="preserve">, </w:t>
      </w:r>
      <w:r>
        <w:rPr>
          <w:rFonts w:ascii="Courier New" w:hAnsi="Courier New"/>
          <w:color w:val="C02040"/>
          <w:sz w:val="20"/>
        </w:rPr>
        <w:t>PyYAML</w:t>
      </w:r>
      <w:r>
        <w:t xml:space="preserve">, </w:t>
      </w:r>
      <w:r>
        <w:rPr>
          <w:rFonts w:ascii="Courier New" w:hAnsi="Courier New"/>
          <w:color w:val="C02040"/>
          <w:sz w:val="20"/>
        </w:rPr>
        <w:t>yfinance</w:t>
      </w:r>
      <w:r>
        <w:t xml:space="preserve">, </w:t>
      </w:r>
      <w:r>
        <w:rPr>
          <w:rFonts w:ascii="Courier New" w:hAnsi="Courier New"/>
          <w:color w:val="C02040"/>
          <w:sz w:val="20"/>
        </w:rPr>
        <w:t>pdfplumber</w:t>
      </w:r>
    </w:p>
    <w:p>
      <w:pPr>
        <w:pStyle w:val="Heading3"/>
      </w:pPr>
      <w:r>
        <w:t>Pre-commit hook (security — do once per clone)</w:t>
      </w:r>
    </w:p>
    <w:p>
      <w:r>
        <w:t>Prevents real account IDs from being committed:</w:t>
      </w:r>
    </w:p>
    <w:p>
      <w:pPr>
        <w:shd w:val="clear" w:color="auto" w:fill="F2F2F2"/>
        <w:spacing w:before="80" w:after="120"/>
        <w:ind w:left="288" w:right="288"/>
      </w:pPr>
      <w:r>
        <w:rPr>
          <w:rFonts w:ascii="Courier New" w:hAnsi="Courier New"/>
          <w:color w:val="242424"/>
          <w:sz w:val="17"/>
        </w:rPr>
        <w:t>cp .hooks/pre-commit .git/hooks/ &amp;&amp; chmod +x .git/hooks/pre-commit</w:t>
      </w:r>
    </w:p>
    <w:p>
      <w:pPr>
        <w:spacing w:before="40" w:after="40"/>
      </w:pPr>
    </w:p>
    <w:p>
      <w:pPr>
        <w:pStyle w:val="Heading2"/>
      </w:pPr>
      <w:r>
        <w:t>3. Directory Structure</w:t>
      </w:r>
    </w:p>
    <w:p>
      <w:pPr>
        <w:shd w:val="clear" w:color="auto" w:fill="F2F2F2"/>
        <w:spacing w:before="80" w:after="120"/>
        <w:ind w:left="288" w:right="288"/>
      </w:pPr>
      <w:r>
        <w:rPr>
          <w:rFonts w:ascii="Courier New" w:hAnsi="Courier New"/>
          <w:color w:val="242424"/>
          <w:sz w:val="17"/>
        </w:rPr>
        <w:t>kapitalertrag/</w:t>
        <w:br/>
        <w:t>├── main.py                          CLI entry point</w:t>
        <w:br/>
        <w:t>├── config.yaml                      Universal settings (committed; no personal data)</w:t>
        <w:br/>
        <w:t>├── core/                            Core logic</w:t>
        <w:br/>
        <w:t>│   ├── config.py                    Config loader + account ID scanner</w:t>
        <w:br/>
        <w:t>│   ├── models.py                    NormalizedTransaction, TaxSummary, enums</w:t>
        <w:br/>
        <w:t>│   ├── fx.py                        ECB FX fetcher + disk cache</w:t>
        <w:br/>
        <w:t>│   ├── tax_engine.py                KESt rules, FIFO matching, WHT crediting</w:t>
        <w:br/>
        <w:t>│   ├── nichtmeldefonds.py           § 186 InvFG pauschal AE</w:t>
        <w:br/>
        <w:t>│   ├── price_fetcher.py             Yahoo Finance year-end prices + cache</w:t>
        <w:br/>
        <w:t>│   └── pipeline.py                  Orchestration: parse → FX → tax → output</w:t>
        <w:br/>
        <w:t>├── brokers/                         Broker parsers</w:t>
        <w:br/>
        <w:t>│   ├── ib_csv.py                    IBKR Flex Query CSV</w:t>
        <w:br/>
        <w:t>│   ├── ibkr_flex_fetch.py           IBKR auto-fetch via Flex Web Service</w:t>
        <w:br/>
        <w:t>│   ├── ibkr_positions.py            IBKR Open Positions section</w:t>
        <w:br/>
        <w:t>│   ├── saxo_xlsx.py                 SAXO AggregatedAmounts + ShareDividends</w:t>
        <w:br/>
        <w:t>│   ├── saxo_closedpos_xlsx.py       SAXO ClosedPositions (real quantities)</w:t>
        <w:br/>
        <w:t>│   └── etrade_pdf.py                E*Trade PDF (old + Morgan Stanley formats)</w:t>
        <w:br/>
        <w:t>├── generators/                      Output generators</w:t>
        <w:br/>
        <w:t>│   ├── writer.py                    Excel dashboard + summary.json + CSV + TXT</w:t>
        <w:br/>
        <w:t>│   ├── freedom.py                   Interactive FIRE dashboard HTML</w:t>
        <w:br/>
        <w:t>│   ├── wht_reclaim.py               WHT reclaim report</w:t>
        <w:br/>
        <w:t>│   ├── anv_checklist.py             L1 deduction checklist</w:t>
        <w:br/>
        <w:t>│   ├── tax_efficiency.py            NMF embedded P&amp;L analysis</w:t>
        <w:br/>
        <w:t>│   └── household.py                 Combined household Excel</w:t>
        <w:br/>
        <w:t>├── data/</w:t>
        <w:br/>
        <w:t>│   └── oekb_ae.yaml                 OeKB AE/WA data for Meldefonds</w:t>
        <w:br/>
        <w:t>├── cache/</w:t>
        <w:br/>
        <w:t>│   ├── fx_cache/                    ECB FX rates (gitignored; auto-populated)</w:t>
        <w:br/>
        <w:t>│   └── price_cache/                 Dec 31 prices from yfinance (gitignored)</w:t>
        <w:br/>
        <w:t>└── users/                           All personal data (gitignored entirely)</w:t>
        <w:br/>
        <w:t xml:space="preserve">    ├── {person}/</w:t>
        <w:br/>
        <w:t xml:space="preserve">    │   ├── config.local.yaml        Person-specific config + account IDs</w:t>
        <w:br/>
        <w:t xml:space="preserve">    │   ├── secrets.local.yaml       IBKR Flex token (edit rarely; never commit)</w:t>
        <w:br/>
        <w:t xml:space="preserve">    │   └── data/</w:t>
        <w:br/>
        <w:t xml:space="preserve">    │       ├── IB/{year}/           IBKR Flex CSV exports</w:t>
        <w:br/>
        <w:t xml:space="preserve">    │       ├── SAXO/{year}/         SAXO xlsx exports</w:t>
        <w:br/>
        <w:t xml:space="preserve">    │       └── ETRADE/{year}/       E*Trade PDF statements</w:t>
        <w:br/>
        <w:t xml:space="preserve">    └── household/</w:t>
        <w:br/>
        <w:t xml:space="preserve">        └── output/{year}/           Household combined Excel output</w:t>
      </w:r>
    </w:p>
    <w:p>
      <w:pPr>
        <w:pStyle w:val="Heading3"/>
      </w:pPr>
      <w:r>
        <w:t>User output layout</w:t>
      </w:r>
    </w:p>
    <w:p>
      <w:r>
        <w:t xml:space="preserve">After each run, outputs land in </w:t>
      </w:r>
      <w:r>
        <w:rPr>
          <w:rFonts w:ascii="Courier New" w:hAnsi="Courier New"/>
          <w:color w:val="C02040"/>
          <w:sz w:val="20"/>
        </w:rPr>
        <w:t>users/{person}/output/{year}/</w:t>
      </w:r>
      <w:r>
        <w:t>:</w:t>
      </w:r>
    </w:p>
    <w:p>
      <w:pPr>
        <w:shd w:val="clear" w:color="auto" w:fill="F2F2F2"/>
        <w:spacing w:before="80" w:after="120"/>
        <w:ind w:left="288" w:right="288"/>
      </w:pPr>
      <w:r>
        <w:rPr>
          <w:rFonts w:ascii="Courier New" w:hAnsi="Courier New"/>
          <w:color w:val="242424"/>
          <w:sz w:val="17"/>
        </w:rPr>
        <w:t>users/matthias/output/2025/</w:t>
        <w:br/>
        <w:t>├── matthias_2025_tax_summary.txt     E1kv Kennziffern → copy into FinanzOnline</w:t>
        <w:br/>
        <w:t>├── matthias_2025_transactions.csv    Full transaction log</w:t>
        <w:br/>
        <w:t>├── matthias_2025_dashboard.xlsx      Multi-tab Excel workbook</w:t>
        <w:br/>
        <w:t>├── matthias_2025_freedom.html        Interactive FIRE dashboard</w:t>
        <w:br/>
        <w:t>├── matthias_2025_wht_reclaim.txt     WHT reclaim report (if at_residency_start_year set)</w:t>
        <w:br/>
        <w:t>├── matthias_2025_anv_checklist.txt   L1 deduction checklist (if anv: set)</w:t>
        <w:br/>
        <w:t>├── matthias_2025_tax_efficiency.txt  NMF P&amp;L + KeSt analysis (if NMF positions)</w:t>
        <w:br/>
        <w:t>└── matthias_2025_summary.json        Machine-readable snapshot (drives multi-year Overview)</w:t>
      </w:r>
    </w:p>
    <w:p>
      <w:pPr>
        <w:spacing w:before="40" w:after="40"/>
      </w:pPr>
    </w:p>
    <w:p>
      <w:pPr>
        <w:pStyle w:val="Heading2"/>
      </w:pPr>
      <w:r>
        <w:t>4. Per-Person Configuration</w:t>
      </w:r>
    </w:p>
    <w:p>
      <w:r>
        <w:t xml:space="preserve">Each person has their own </w:t>
      </w:r>
      <w:r>
        <w:rPr>
          <w:rFonts w:ascii="Courier New" w:hAnsi="Courier New"/>
          <w:color w:val="C02040"/>
          <w:sz w:val="20"/>
        </w:rPr>
        <w:t>users/{person}/config.local.yaml</w:t>
      </w:r>
      <w:r>
        <w:t>. This file is gitignored — it is</w:t>
      </w:r>
    </w:p>
    <w:p>
      <w:r>
        <w:t>the only place real account IDs and personal details should appear.</w:t>
      </w:r>
    </w:p>
    <w:p>
      <w:pPr>
        <w:pStyle w:val="Heading3"/>
      </w:pPr>
      <w:r>
        <w:t>Minimal config</w:t>
      </w:r>
    </w:p>
    <w:p>
      <w:pPr>
        <w:shd w:val="clear" w:color="auto" w:fill="F2F2F2"/>
        <w:spacing w:before="80" w:after="120"/>
        <w:ind w:left="288" w:right="288"/>
      </w:pPr>
      <w:r>
        <w:rPr>
          <w:rFonts w:ascii="Courier New" w:hAnsi="Courier New"/>
          <w:color w:val="242424"/>
          <w:sz w:val="17"/>
        </w:rPr>
        <w:t>account_id:</w:t>
        <w:br/>
        <w:t xml:space="preserve">  - U99999999        # IBKR account (replace with real ID)</w:t>
        <w:br/>
        <w:t xml:space="preserve">  - "19999999"       # SAXO DK account (replace with real ID)</w:t>
      </w:r>
    </w:p>
    <w:p>
      <w:pPr>
        <w:pStyle w:val="Heading3"/>
      </w:pPr>
      <w:r>
        <w:t>Full config reference</w:t>
      </w:r>
    </w:p>
    <w:p>
      <w:pPr>
        <w:shd w:val="clear" w:color="auto" w:fill="F2F2F2"/>
        <w:spacing w:before="80" w:after="120"/>
        <w:ind w:left="288" w:right="288"/>
      </w:pPr>
      <w:r>
        <w:rPr>
          <w:rFonts w:ascii="Courier New" w:hAnsi="Courier New"/>
          <w:color w:val="242424"/>
          <w:sz w:val="17"/>
        </w:rPr>
        <w:t># ── Identity ──────────────────────────────────────────────────────────────────</w:t>
        <w:br/>
        <w:t>account_id:</w:t>
        <w:br/>
        <w:t xml:space="preserve">  - U99999999        # scalar or list; drives --person auto-detection</w:t>
        <w:br/>
        <w:br/>
        <w:t># ── WHT reclaim ───────────────────────────────────────────────────────────────</w:t>
        <w:br/>
        <w:t>at_residency_start_year: 2024   # enables WHT reclaim report</w:t>
        <w:br/>
        <w:br/>
        <w:t># ── ANV deduction checklist ───────────────────────────────────────────────────</w:t>
        <w:br/>
        <w:t>anv:</w:t>
        <w:br/>
        <w:t xml:space="preserve">  home_office_days: 45</w:t>
        <w:br/>
        <w:t xml:space="preserve">  commute_km: 10</w:t>
        <w:br/>
        <w:t xml:space="preserve">  commute_type: public          # public | car</w:t>
        <w:br/>
        <w:t xml:space="preserve">  kirchenbeitrag_eur: 0</w:t>
        <w:br/>
        <w:t xml:space="preserve">  steuerberatung_eur: 350</w:t>
        <w:br/>
        <w:t xml:space="preserve">  income_eur: 30000             # gross employment income</w:t>
        <w:br/>
        <w:br/>
        <w:t># ── Freedom / FIRE dashboard ──────────────────────────────────────────────────</w:t>
        <w:br/>
        <w:t>freedom_dashboard:</w:t>
        <w:br/>
        <w:t xml:space="preserve">  portfolio_eur: 400000         # fallback if IBKR Open Positions not available</w:t>
        <w:br/>
        <w:t xml:space="preserve">  monthly_expenses_eur: 3500</w:t>
        <w:br/>
        <w:t xml:space="preserve">  monthly_contribution_eur: 1000</w:t>
        <w:br/>
        <w:t xml:space="preserve">  yield_pct: 3.5</w:t>
        <w:br/>
        <w:t xml:space="preserve">  growth_pct: 7.0</w:t>
        <w:br/>
        <w:t xml:space="preserve">  holdings_group_by_type: false</w:t>
        <w:br/>
        <w:br/>
        <w:t># ── Portfolio supplement (SAXO manual estimate) ───────────────────────────────</w:t>
        <w:br/>
        <w:t>portfolio_eur_supplement: 50000</w:t>
        <w:br/>
        <w:br/>
        <w:t># ── Meldefonds (OeKB-registered accumulating ETFs) ───────────────────────────</w:t>
        <w:br/>
        <w:t>meldefonds:</w:t>
        <w:br/>
        <w:t xml:space="preserve">  - isin: IE00B3RBWM25</w:t>
        <w:br/>
        <w:t xml:space="preserve">    symbol: VWRL</w:t>
        <w:br/>
        <w:t xml:space="preserve">  - isin: IE00B4L5Y983</w:t>
        <w:br/>
        <w:t xml:space="preserve">    symbol: IWDA</w:t>
        <w:br/>
        <w:br/>
        <w:t># ── Nichtmeldefonds (US REITs, BDCs — § 186 InvFG pauschal AE) ───────────────</w:t>
        <w:br/>
        <w:t>nichtmeldefonds:</w:t>
        <w:br/>
        <w:t xml:space="preserve">  - symbol: O</w:t>
        <w:br/>
        <w:t xml:space="preserve">    isin: US7561091049</w:t>
        <w:br/>
        <w:t xml:space="preserve">    name: Realty Income Corp</w:t>
        <w:br/>
        <w:t xml:space="preserve">    type: REIT</w:t>
        <w:br/>
        <w:t xml:space="preserve">    currency: USD</w:t>
        <w:br/>
        <w:t xml:space="preserve">    # shares_held_override required for SAXO positions (qty=1 convention):</w:t>
        <w:br/>
        <w:t xml:space="preserve">    shares_held_override:</w:t>
        <w:br/>
        <w:t xml:space="preserve">      2024: 150</w:t>
        <w:br/>
        <w:t xml:space="preserve">      2025: 150</w:t>
        <w:br/>
        <w:br/>
        <w:t># ── FIFO seeds for spin-offs, migrations, and pre-history positions ───────────</w:t>
        <w:br/>
        <w:t>manual_cost_basis:</w:t>
        <w:br/>
        <w:t xml:space="preserve">  - symbol: SOLV</w:t>
        <w:br/>
        <w:t xml:space="preserve">    isin: US83444N1037</w:t>
        <w:br/>
        <w:t xml:space="preserve">    purchase_date: "2023-10-23"</w:t>
        <w:br/>
        <w:t xml:space="preserve">    quantity: 1          # qty=1 for SAXO (see SAXO notes)</w:t>
        <w:br/>
        <w:t xml:space="preserve">    cost_eur: 0          # spin-off: zero cost basis</w:t>
        <w:br/>
        <w:br/>
        <w:t># ── Corporate action aliases (only needed when ISIN changes) ─────────────────</w:t>
        <w:br/>
        <w:t># Plain broker ticker renames with the same ISIN are auto-resolved; no entry needed.</w:t>
        <w:br/>
        <w:t>symbol_aliases:</w:t>
        <w:br/>
        <w:t xml:space="preserve">  1COV: 1CO              # Covestro tender (different ISIN)</w:t>
        <w:br/>
        <w:br/>
        <w:t># ── SAXO-specific ─────────────────────────────────────────────────────────────</w:t>
        <w:br/>
        <w:t>saxo_skip_agg_trades: true          # use ClosedPositions for trades, AA for divs only</w:t>
        <w:br/>
        <w:t>saxo_skip_agg_dividends: false      # set true when ShareDividends also loaded for same period</w:t>
        <w:br/>
        <w:t>saxo_closedpos_skip_buy_open_dates:</w:t>
        <w:br/>
        <w:t xml:space="preserve">  - "2024-03-07"        # SG → DK transfer date (manual_cost_basis covers these lots)</w:t>
        <w:br/>
        <w:t xml:space="preserve">  - "2024-06-10"        # NVDA 10:1 split lot</w:t>
        <w:br/>
        <w:br/>
        <w:t># ── E*Trade-specific ──────────────────────────────────────────────────────────</w:t>
        <w:br/>
        <w:t>etrade_skip_transfers:</w:t>
        <w:br/>
        <w:t xml:space="preserve">  - "2023-09-01"        # account migration date (old → Morgan Stanley)</w:t>
      </w:r>
    </w:p>
    <w:p>
      <w:pPr>
        <w:spacing w:before="40" w:after="40"/>
      </w:pPr>
    </w:p>
    <w:p>
      <w:pPr>
        <w:pStyle w:val="Heading2"/>
      </w:pPr>
      <w:r>
        <w:t>5. Interactive Brokers — Flex Query Setup</w:t>
      </w:r>
    </w:p>
    <w:p>
      <w:r>
        <w:t>The Flex Query tells IBKR what data to export. This setup must be done once in the IBKR</w:t>
      </w:r>
    </w:p>
    <w:p>
      <w:r>
        <w:t>Client Portal.</w:t>
      </w:r>
    </w:p>
    <w:p>
      <w:pPr>
        <w:pStyle w:val="Heading3"/>
      </w:pPr>
      <w:r>
        <w:t>5.1 Create the query</w:t>
      </w:r>
    </w:p>
    <w:p>
      <w:pPr>
        <w:pStyle w:val="ListNumber"/>
      </w:pPr>
      <w:r>
        <w:t xml:space="preserve">Log in to </w:t>
      </w:r>
      <w:r>
        <w:rPr>
          <w:color w:val="2E74B5"/>
        </w:rPr>
        <w:t>clientportal.ibkr.com</w:t>
      </w:r>
    </w:p>
    <w:p>
      <w:pPr>
        <w:pStyle w:val="ListNumber"/>
      </w:pPr>
      <w:r>
        <w:t xml:space="preserve">Navigate to: </w:t>
      </w:r>
      <w:r>
        <w:rPr>
          <w:b/>
        </w:rPr>
        <w:t>Reports &amp; Tools → Flex Queries → Activity Flex Query</w:t>
      </w:r>
    </w:p>
    <w:p>
      <w:pPr>
        <w:pStyle w:val="ListNumber"/>
      </w:pPr>
      <w:r>
        <w:t xml:space="preserve">Click </w:t>
      </w:r>
      <w:r>
        <w:rPr>
          <w:b/>
        </w:rPr>
        <w:t>Create New Activity Flex Query</w:t>
      </w:r>
    </w:p>
    <w:p>
      <w:pPr>
        <w:pStyle w:val="ListNumber"/>
      </w:pPr>
      <w:r>
        <w:t xml:space="preserve">Name it, e.g. </w:t>
      </w:r>
      <w:r>
        <w:rPr>
          <w:rFonts w:ascii="Courier New" w:hAnsi="Courier New"/>
          <w:color w:val="C02040"/>
          <w:sz w:val="20"/>
        </w:rPr>
        <w:t>Kapitalertrag-2025</w:t>
      </w:r>
    </w:p>
    <w:p>
      <w:pPr>
        <w:pStyle w:val="Heading3"/>
      </w:pPr>
      <w:r>
        <w:t>5.2 General settings</w:t>
      </w:r>
    </w:p>
    <w:tbl>
      <w:tblPr>
        <w:tblStyle w:val="TableGrid"/>
        <w:tblW w:type="auto" w:w="0"/>
        <w:tblLook w:firstColumn="1" w:firstRow="1" w:lastColumn="0" w:lastRow="0" w:noHBand="0" w:noVBand="1" w:val="04A0"/>
      </w:tblPr>
      <w:tblGrid>
        <w:gridCol w:w="4680"/>
        <w:gridCol w:w="4680"/>
      </w:tblGrid>
      <w:tr>
        <w:tc>
          <w:tcPr>
            <w:tcW w:type="dxa" w:w="4680"/>
            <w:shd w:val="clear" w:color="auto" w:fill="2E74B5"/>
          </w:tcPr>
          <w:p>
            <w:pPr>
              <w:spacing w:before="60" w:after="60"/>
            </w:pPr>
            <w:r>
              <w:rPr>
                <w:b/>
                <w:color w:val="FFFFFF"/>
                <w:sz w:val="18"/>
              </w:rPr>
              <w:t>Setting</w:t>
            </w:r>
          </w:p>
        </w:tc>
        <w:tc>
          <w:tcPr>
            <w:tcW w:type="dxa" w:w="4680"/>
            <w:shd w:val="clear" w:color="auto" w:fill="2E74B5"/>
          </w:tcPr>
          <w:p>
            <w:pPr>
              <w:spacing w:before="60" w:after="60"/>
            </w:pPr>
            <w:r>
              <w:rPr>
                <w:b/>
                <w:color w:val="FFFFFF"/>
                <w:sz w:val="18"/>
              </w:rPr>
              <w:t>Value</w:t>
            </w:r>
          </w:p>
        </w:tc>
      </w:tr>
      <w:tr>
        <w:tc>
          <w:tcPr>
            <w:tcW w:type="dxa" w:w="4680"/>
          </w:tcPr>
          <w:p>
            <w:pPr>
              <w:spacing w:before="40" w:after="40"/>
            </w:pPr>
            <w:r>
              <w:rPr>
                <w:sz w:val="18"/>
              </w:rPr>
              <w:t>Date Period</w:t>
            </w:r>
          </w:p>
        </w:tc>
        <w:tc>
          <w:tcPr>
            <w:tcW w:type="dxa" w:w="4680"/>
          </w:tcPr>
          <w:p>
            <w:pPr>
              <w:spacing w:before="40" w:after="40"/>
            </w:pPr>
            <w:r>
              <w:rPr>
                <w:sz w:val="18"/>
              </w:rPr>
              <w:t>Custom Date Range — Jan 1 to Dec 31 of the tax year</w:t>
            </w:r>
          </w:p>
        </w:tc>
      </w:tr>
      <w:tr>
        <w:tc>
          <w:tcPr>
            <w:tcW w:type="dxa" w:w="4680"/>
            <w:shd w:val="clear" w:color="auto" w:fill="EBF3FB"/>
          </w:tcPr>
          <w:p>
            <w:pPr>
              <w:spacing w:before="40" w:after="40"/>
            </w:pPr>
            <w:r>
              <w:rPr>
                <w:sz w:val="18"/>
              </w:rPr>
              <w:t>Date Format</w:t>
            </w:r>
          </w:p>
        </w:tc>
        <w:tc>
          <w:tcPr>
            <w:tcW w:type="dxa" w:w="4680"/>
            <w:shd w:val="clear" w:color="auto" w:fill="EBF3FB"/>
          </w:tcPr>
          <w:p>
            <w:pPr>
              <w:spacing w:before="40" w:after="40"/>
            </w:pPr>
            <w:r>
              <w:rPr>
                <w:rFonts w:ascii="Courier New" w:hAnsi="Courier New"/>
                <w:color w:val="C02040"/>
                <w:sz w:val="16"/>
              </w:rPr>
              <w:t>yyyy-MM-dd</w:t>
            </w:r>
          </w:p>
        </w:tc>
      </w:tr>
      <w:tr>
        <w:tc>
          <w:tcPr>
            <w:tcW w:type="dxa" w:w="4680"/>
          </w:tcPr>
          <w:p>
            <w:pPr>
              <w:spacing w:before="40" w:after="40"/>
            </w:pPr>
            <w:r>
              <w:rPr>
                <w:sz w:val="18"/>
              </w:rPr>
              <w:t>Time Format</w:t>
            </w:r>
          </w:p>
        </w:tc>
        <w:tc>
          <w:tcPr>
            <w:tcW w:type="dxa" w:w="4680"/>
          </w:tcPr>
          <w:p>
            <w:pPr>
              <w:spacing w:before="40" w:after="40"/>
            </w:pPr>
            <w:r>
              <w:rPr>
                <w:rFonts w:ascii="Courier New" w:hAnsi="Courier New"/>
                <w:color w:val="C02040"/>
                <w:sz w:val="16"/>
              </w:rPr>
              <w:t>HH:mm:ss</w:t>
            </w:r>
          </w:p>
        </w:tc>
      </w:tr>
      <w:tr>
        <w:tc>
          <w:tcPr>
            <w:tcW w:type="dxa" w:w="4680"/>
            <w:shd w:val="clear" w:color="auto" w:fill="EBF3FB"/>
          </w:tcPr>
          <w:p>
            <w:pPr>
              <w:spacing w:before="40" w:after="40"/>
            </w:pPr>
            <w:r>
              <w:rPr>
                <w:sz w:val="18"/>
              </w:rPr>
              <w:t>Date/Time Separator</w:t>
            </w:r>
          </w:p>
        </w:tc>
        <w:tc>
          <w:tcPr>
            <w:tcW w:type="dxa" w:w="4680"/>
            <w:shd w:val="clear" w:color="auto" w:fill="EBF3FB"/>
          </w:tcPr>
          <w:p>
            <w:pPr>
              <w:spacing w:before="40" w:after="40"/>
            </w:pPr>
            <w:r>
              <w:rPr>
                <w:sz w:val="18"/>
              </w:rPr>
              <w:t xml:space="preserve">Semicolon </w:t>
            </w:r>
            <w:r>
              <w:rPr>
                <w:rFonts w:ascii="Courier New" w:hAnsi="Courier New"/>
                <w:color w:val="C02040"/>
                <w:sz w:val="16"/>
              </w:rPr>
              <w:t>;</w:t>
            </w:r>
          </w:p>
        </w:tc>
      </w:tr>
      <w:tr>
        <w:tc>
          <w:tcPr>
            <w:tcW w:type="dxa" w:w="4680"/>
          </w:tcPr>
          <w:p>
            <w:pPr>
              <w:spacing w:before="40" w:after="40"/>
            </w:pPr>
            <w:r>
              <w:rPr>
                <w:sz w:val="18"/>
              </w:rPr>
              <w:t>Include Canceled Trades</w:t>
            </w:r>
          </w:p>
        </w:tc>
        <w:tc>
          <w:tcPr>
            <w:tcW w:type="dxa" w:w="4680"/>
          </w:tcPr>
          <w:p>
            <w:pPr>
              <w:spacing w:before="40" w:after="40"/>
            </w:pPr>
            <w:r>
              <w:rPr>
                <w:sz w:val="18"/>
              </w:rPr>
              <w:t>NO</w:t>
            </w:r>
          </w:p>
        </w:tc>
      </w:tr>
      <w:tr>
        <w:tc>
          <w:tcPr>
            <w:tcW w:type="dxa" w:w="4680"/>
            <w:shd w:val="clear" w:color="auto" w:fill="EBF3FB"/>
          </w:tcPr>
          <w:p>
            <w:pPr>
              <w:spacing w:before="40" w:after="40"/>
            </w:pPr>
            <w:r>
              <w:rPr>
                <w:sz w:val="18"/>
              </w:rPr>
              <w:t>Include Currency Rates</w:t>
            </w:r>
          </w:p>
        </w:tc>
        <w:tc>
          <w:tcPr>
            <w:tcW w:type="dxa" w:w="4680"/>
            <w:shd w:val="clear" w:color="auto" w:fill="EBF3FB"/>
          </w:tcPr>
          <w:p>
            <w:pPr>
              <w:spacing w:before="40" w:after="40"/>
            </w:pPr>
            <w:r>
              <w:rPr>
                <w:sz w:val="18"/>
              </w:rPr>
              <w:t>NO</w:t>
            </w:r>
          </w:p>
        </w:tc>
      </w:tr>
      <w:tr>
        <w:tc>
          <w:tcPr>
            <w:tcW w:type="dxa" w:w="4680"/>
          </w:tcPr>
          <w:p>
            <w:pPr>
              <w:spacing w:before="40" w:after="40"/>
            </w:pPr>
            <w:r>
              <w:rPr>
                <w:sz w:val="18"/>
              </w:rPr>
              <w:t>Include Audit Trail</w:t>
            </w:r>
          </w:p>
        </w:tc>
        <w:tc>
          <w:tcPr>
            <w:tcW w:type="dxa" w:w="4680"/>
          </w:tcPr>
          <w:p>
            <w:pPr>
              <w:spacing w:before="40" w:after="40"/>
            </w:pPr>
            <w:r>
              <w:rPr>
                <w:sz w:val="18"/>
              </w:rPr>
              <w:t>NO</w:t>
            </w:r>
          </w:p>
        </w:tc>
      </w:tr>
    </w:tbl>
    <w:p/>
    <w:p>
      <w:pPr>
        <w:pStyle w:val="Heading3"/>
      </w:pPr>
      <w:r>
        <w:t>5.3 Format settings — critical</w:t>
      </w:r>
    </w:p>
    <w:tbl>
      <w:tblPr>
        <w:tblStyle w:val="TableGrid"/>
        <w:tblW w:type="auto" w:w="0"/>
        <w:tblLook w:firstColumn="1" w:firstRow="1" w:lastColumn="0" w:lastRow="0" w:noHBand="0" w:noVBand="1" w:val="04A0"/>
      </w:tblPr>
      <w:tblGrid>
        <w:gridCol w:w="4680"/>
        <w:gridCol w:w="4680"/>
      </w:tblGrid>
      <w:tr>
        <w:tc>
          <w:tcPr>
            <w:tcW w:type="dxa" w:w="4680"/>
            <w:shd w:val="clear" w:color="auto" w:fill="2E74B5"/>
          </w:tcPr>
          <w:p>
            <w:pPr>
              <w:spacing w:before="60" w:after="60"/>
            </w:pPr>
            <w:r>
              <w:rPr>
                <w:b/>
                <w:color w:val="FFFFFF"/>
                <w:sz w:val="18"/>
              </w:rPr>
              <w:t>Setting</w:t>
            </w:r>
          </w:p>
        </w:tc>
        <w:tc>
          <w:tcPr>
            <w:tcW w:type="dxa" w:w="4680"/>
            <w:shd w:val="clear" w:color="auto" w:fill="2E74B5"/>
          </w:tcPr>
          <w:p>
            <w:pPr>
              <w:spacing w:before="60" w:after="60"/>
            </w:pPr>
            <w:r>
              <w:rPr>
                <w:b/>
                <w:color w:val="FFFFFF"/>
                <w:sz w:val="18"/>
              </w:rPr>
              <w:t>Value</w:t>
            </w:r>
          </w:p>
        </w:tc>
      </w:tr>
      <w:tr>
        <w:tc>
          <w:tcPr>
            <w:tcW w:type="dxa" w:w="4680"/>
          </w:tcPr>
          <w:p>
            <w:pPr>
              <w:spacing w:before="40" w:after="40"/>
            </w:pPr>
            <w:r>
              <w:rPr>
                <w:sz w:val="18"/>
              </w:rPr>
              <w:t>Format</w:t>
            </w:r>
          </w:p>
        </w:tc>
        <w:tc>
          <w:tcPr>
            <w:tcW w:type="dxa" w:w="4680"/>
          </w:tcPr>
          <w:p>
            <w:pPr>
              <w:spacing w:before="40" w:after="40"/>
            </w:pPr>
            <w:r>
              <w:rPr>
                <w:sz w:val="18"/>
              </w:rPr>
              <w:t>CSV</w:t>
            </w:r>
          </w:p>
        </w:tc>
      </w:tr>
      <w:tr>
        <w:tc>
          <w:tcPr>
            <w:tcW w:type="dxa" w:w="4680"/>
            <w:shd w:val="clear" w:color="auto" w:fill="EBF3FB"/>
          </w:tcPr>
          <w:p>
            <w:pPr>
              <w:spacing w:before="40" w:after="40"/>
            </w:pPr>
            <w:r>
              <w:rPr>
                <w:sz w:val="18"/>
              </w:rPr>
              <w:t>Delimiter</w:t>
            </w:r>
          </w:p>
        </w:tc>
        <w:tc>
          <w:tcPr>
            <w:tcW w:type="dxa" w:w="4680"/>
            <w:shd w:val="clear" w:color="auto" w:fill="EBF3FB"/>
          </w:tcPr>
          <w:p>
            <w:pPr>
              <w:spacing w:before="40" w:after="40"/>
            </w:pPr>
            <w:r>
              <w:rPr>
                <w:sz w:val="18"/>
              </w:rPr>
              <w:t>Comma</w:t>
            </w:r>
          </w:p>
        </w:tc>
      </w:tr>
      <w:tr>
        <w:tc>
          <w:tcPr>
            <w:tcW w:type="dxa" w:w="4680"/>
          </w:tcPr>
          <w:p>
            <w:pPr>
              <w:spacing w:before="40" w:after="40"/>
            </w:pPr>
            <w:r>
              <w:rPr>
                <w:sz w:val="18"/>
              </w:rPr>
              <w:t>Include Header and Trailer Records</w:t>
            </w:r>
          </w:p>
        </w:tc>
        <w:tc>
          <w:tcPr>
            <w:tcW w:type="dxa" w:w="4680"/>
          </w:tcPr>
          <w:p>
            <w:pPr>
              <w:spacing w:before="40" w:after="40"/>
            </w:pPr>
            <w:r>
              <w:rPr>
                <w:b/>
                <w:sz w:val="18"/>
              </w:rPr>
              <w:t>YES</w:t>
            </w:r>
            <w:r>
              <w:rPr>
                <w:sz w:val="18"/>
              </w:rPr>
              <w:t xml:space="preserve"> — required for BOF/EOF detection</w:t>
            </w:r>
          </w:p>
        </w:tc>
      </w:tr>
      <w:tr>
        <w:tc>
          <w:tcPr>
            <w:tcW w:type="dxa" w:w="4680"/>
            <w:shd w:val="clear" w:color="auto" w:fill="EBF3FB"/>
          </w:tcPr>
          <w:p>
            <w:pPr>
              <w:spacing w:before="40" w:after="40"/>
            </w:pPr>
            <w:r>
              <w:rPr>
                <w:sz w:val="18"/>
              </w:rPr>
              <w:t>Include Column Headers</w:t>
            </w:r>
          </w:p>
        </w:tc>
        <w:tc>
          <w:tcPr>
            <w:tcW w:type="dxa" w:w="4680"/>
            <w:shd w:val="clear" w:color="auto" w:fill="EBF3FB"/>
          </w:tcPr>
          <w:p>
            <w:pPr>
              <w:spacing w:before="40" w:after="40"/>
            </w:pPr>
            <w:r>
              <w:rPr>
                <w:b/>
                <w:sz w:val="18"/>
              </w:rPr>
              <w:t>YES</w:t>
            </w:r>
            <w:r>
              <w:rPr>
                <w:sz w:val="18"/>
              </w:rPr>
              <w:t xml:space="preserve"> — field names from these rows</w:t>
            </w:r>
          </w:p>
        </w:tc>
      </w:tr>
      <w:tr>
        <w:tc>
          <w:tcPr>
            <w:tcW w:type="dxa" w:w="4680"/>
          </w:tcPr>
          <w:p>
            <w:pPr>
              <w:spacing w:before="40" w:after="40"/>
            </w:pPr>
            <w:r>
              <w:rPr>
                <w:sz w:val="18"/>
              </w:rPr>
              <w:t>Include Section Code</w:t>
            </w:r>
          </w:p>
        </w:tc>
        <w:tc>
          <w:tcPr>
            <w:tcW w:type="dxa" w:w="4680"/>
          </w:tcPr>
          <w:p>
            <w:pPr>
              <w:spacing w:before="40" w:after="40"/>
            </w:pPr>
            <w:r>
              <w:rPr>
                <w:b/>
                <w:sz w:val="18"/>
              </w:rPr>
              <w:t>YES</w:t>
            </w:r>
            <w:r>
              <w:rPr>
                <w:sz w:val="18"/>
              </w:rPr>
              <w:t xml:space="preserve"> — TRNT/CTRN prefix routes rows to correct parser</w:t>
            </w:r>
          </w:p>
        </w:tc>
      </w:tr>
    </w:tbl>
    <w:p/>
    <w:p>
      <w:pPr>
        <w:pStyle w:val="Heading3"/>
      </w:pPr>
      <w:r>
        <w:t>5.4 Trades section — select these fields</w:t>
      </w:r>
    </w:p>
    <w:p>
      <w:r>
        <w:t xml:space="preserve">In the left panel, check </w:t>
      </w:r>
      <w:r>
        <w:rPr>
          <w:b/>
        </w:rPr>
        <w:t>Trades</w:t>
      </w:r>
      <w:r>
        <w:t>, then select exactly:</w:t>
      </w:r>
    </w:p>
    <w:p>
      <w:r>
        <w:rPr>
          <w:rFonts w:ascii="Courier New" w:hAnsi="Courier New"/>
          <w:color w:val="C02040"/>
          <w:sz w:val="20"/>
        </w:rPr>
        <w:t>Symbol</w:t>
      </w:r>
      <w:r>
        <w:t xml:space="preserve">, </w:t>
      </w:r>
      <w:r>
        <w:rPr>
          <w:rFonts w:ascii="Courier New" w:hAnsi="Courier New"/>
          <w:color w:val="C02040"/>
          <w:sz w:val="20"/>
        </w:rPr>
        <w:t>ISIN</w:t>
      </w:r>
      <w:r>
        <w:t xml:space="preserve">, </w:t>
      </w:r>
      <w:r>
        <w:rPr>
          <w:rFonts w:ascii="Courier New" w:hAnsi="Courier New"/>
          <w:color w:val="C02040"/>
          <w:sz w:val="20"/>
        </w:rPr>
        <w:t>Description</w:t>
      </w:r>
      <w:r>
        <w:t xml:space="preserve">, </w:t>
      </w:r>
      <w:r>
        <w:rPr>
          <w:rFonts w:ascii="Courier New" w:hAnsi="Courier New"/>
          <w:color w:val="C02040"/>
          <w:sz w:val="20"/>
        </w:rPr>
        <w:t>Asset Class</w:t>
      </w:r>
      <w:r>
        <w:t xml:space="preserve">, </w:t>
      </w:r>
      <w:r>
        <w:rPr>
          <w:rFonts w:ascii="Courier New" w:hAnsi="Courier New"/>
          <w:color w:val="C02040"/>
          <w:sz w:val="20"/>
        </w:rPr>
        <w:t>Buy/Sell</w:t>
      </w:r>
      <w:r>
        <w:t xml:space="preserve">, </w:t>
      </w:r>
      <w:r>
        <w:rPr>
          <w:rFonts w:ascii="Courier New" w:hAnsi="Courier New"/>
          <w:color w:val="C02040"/>
          <w:sz w:val="20"/>
        </w:rPr>
        <w:t>DateTime</w:t>
      </w:r>
      <w:r>
        <w:t xml:space="preserve">, </w:t>
      </w:r>
      <w:r>
        <w:rPr>
          <w:rFonts w:ascii="Courier New" w:hAnsi="Courier New"/>
          <w:color w:val="C02040"/>
          <w:sz w:val="20"/>
        </w:rPr>
        <w:t>Quantity</w:t>
      </w:r>
      <w:r>
        <w:t>,</w:t>
      </w:r>
    </w:p>
    <w:p>
      <w:r>
        <w:rPr>
          <w:rFonts w:ascii="Courier New" w:hAnsi="Courier New"/>
          <w:color w:val="C02040"/>
          <w:sz w:val="20"/>
        </w:rPr>
        <w:t>TradePrice</w:t>
      </w:r>
      <w:r>
        <w:t xml:space="preserve">, </w:t>
      </w:r>
      <w:r>
        <w:rPr>
          <w:rFonts w:ascii="Courier New" w:hAnsi="Courier New"/>
          <w:color w:val="C02040"/>
          <w:sz w:val="20"/>
        </w:rPr>
        <w:t>Proceeds</w:t>
      </w:r>
      <w:r>
        <w:t xml:space="preserve">, </w:t>
      </w:r>
      <w:r>
        <w:rPr>
          <w:rFonts w:ascii="Courier New" w:hAnsi="Courier New"/>
          <w:color w:val="C02040"/>
          <w:sz w:val="20"/>
        </w:rPr>
        <w:t>IBCommission</w:t>
      </w:r>
      <w:r>
        <w:t xml:space="preserve">, </w:t>
      </w:r>
      <w:r>
        <w:rPr>
          <w:rFonts w:ascii="Courier New" w:hAnsi="Courier New"/>
          <w:color w:val="C02040"/>
          <w:sz w:val="20"/>
        </w:rPr>
        <w:t>IBCommissionCurrency</w:t>
      </w:r>
      <w:r>
        <w:t xml:space="preserve">, </w:t>
      </w:r>
      <w:r>
        <w:rPr>
          <w:rFonts w:ascii="Courier New" w:hAnsi="Courier New"/>
          <w:color w:val="C02040"/>
          <w:sz w:val="20"/>
        </w:rPr>
        <w:t>CurrencyPrimary</w:t>
      </w:r>
      <w:r>
        <w:t>,</w:t>
      </w:r>
    </w:p>
    <w:p>
      <w:r>
        <w:rPr>
          <w:rFonts w:ascii="Courier New" w:hAnsi="Courier New"/>
          <w:color w:val="C02040"/>
          <w:sz w:val="20"/>
        </w:rPr>
        <w:t>Exchange</w:t>
      </w:r>
      <w:r>
        <w:t xml:space="preserve">, </w:t>
      </w:r>
      <w:r>
        <w:rPr>
          <w:rFonts w:ascii="Courier New" w:hAnsi="Courier New"/>
          <w:color w:val="C02040"/>
          <w:sz w:val="20"/>
        </w:rPr>
        <w:t>Conid</w:t>
      </w:r>
      <w:r>
        <w:t xml:space="preserve">, </w:t>
      </w:r>
      <w:r>
        <w:rPr>
          <w:rFonts w:ascii="Courier New" w:hAnsi="Courier New"/>
          <w:color w:val="C02040"/>
          <w:sz w:val="20"/>
        </w:rPr>
        <w:t>CostBasis</w:t>
      </w:r>
      <w:r>
        <w:t xml:space="preserve">, </w:t>
      </w:r>
      <w:r>
        <w:rPr>
          <w:rFonts w:ascii="Courier New" w:hAnsi="Courier New"/>
          <w:color w:val="C02040"/>
          <w:sz w:val="20"/>
        </w:rPr>
        <w:t>FifoPnlRealized</w:t>
      </w:r>
    </w:p>
    <w:p>
      <w:pPr>
        <w:pStyle w:val="Heading3"/>
      </w:pPr>
      <w:r>
        <w:t>5.5 Cash Transactions section — select these fields</w:t>
      </w:r>
    </w:p>
    <w:p>
      <w:r>
        <w:t xml:space="preserve">In the left panel, check </w:t>
      </w:r>
      <w:r>
        <w:rPr>
          <w:b/>
        </w:rPr>
        <w:t>Cash Transactions</w:t>
      </w:r>
      <w:r>
        <w:t>, then select:</w:t>
      </w:r>
    </w:p>
    <w:p>
      <w:r>
        <w:rPr>
          <w:rFonts w:ascii="Courier New" w:hAnsi="Courier New"/>
          <w:color w:val="C02040"/>
          <w:sz w:val="20"/>
        </w:rPr>
        <w:t>Symbol</w:t>
      </w:r>
      <w:r>
        <w:t xml:space="preserve">, </w:t>
      </w:r>
      <w:r>
        <w:rPr>
          <w:rFonts w:ascii="Courier New" w:hAnsi="Courier New"/>
          <w:color w:val="C02040"/>
          <w:sz w:val="20"/>
        </w:rPr>
        <w:t>ISIN</w:t>
      </w:r>
      <w:r>
        <w:t xml:space="preserve">, </w:t>
      </w:r>
      <w:r>
        <w:rPr>
          <w:rFonts w:ascii="Courier New" w:hAnsi="Courier New"/>
          <w:color w:val="C02040"/>
          <w:sz w:val="20"/>
        </w:rPr>
        <w:t>Description</w:t>
      </w:r>
      <w:r>
        <w:t xml:space="preserve">, </w:t>
      </w:r>
      <w:r>
        <w:rPr>
          <w:rFonts w:ascii="Courier New" w:hAnsi="Courier New"/>
          <w:color w:val="C02040"/>
          <w:sz w:val="20"/>
        </w:rPr>
        <w:t>AssetClass</w:t>
      </w:r>
      <w:r>
        <w:t xml:space="preserve">, </w:t>
      </w:r>
      <w:r>
        <w:rPr>
          <w:rFonts w:ascii="Courier New" w:hAnsi="Courier New"/>
          <w:color w:val="C02040"/>
          <w:sz w:val="20"/>
        </w:rPr>
        <w:t>Date/Time</w:t>
      </w:r>
      <w:r>
        <w:t xml:space="preserve">, </w:t>
      </w:r>
      <w:r>
        <w:rPr>
          <w:rFonts w:ascii="Courier New" w:hAnsi="Courier New"/>
          <w:color w:val="C02040"/>
          <w:sz w:val="20"/>
        </w:rPr>
        <w:t>Amount</w:t>
      </w:r>
      <w:r>
        <w:t>,</w:t>
      </w:r>
    </w:p>
    <w:p>
      <w:r>
        <w:rPr>
          <w:rFonts w:ascii="Courier New" w:hAnsi="Courier New"/>
          <w:color w:val="C02040"/>
          <w:sz w:val="20"/>
        </w:rPr>
        <w:t>CurrencyPrimary</w:t>
      </w:r>
      <w:r>
        <w:t xml:space="preserve">, </w:t>
      </w:r>
      <w:r>
        <w:rPr>
          <w:rFonts w:ascii="Courier New" w:hAnsi="Courier New"/>
          <w:color w:val="C02040"/>
          <w:sz w:val="20"/>
        </w:rPr>
        <w:t>Type</w:t>
      </w:r>
      <w:r>
        <w:t xml:space="preserve">, </w:t>
      </w:r>
      <w:r>
        <w:rPr>
          <w:rFonts w:ascii="Courier New" w:hAnsi="Courier New"/>
          <w:color w:val="C02040"/>
          <w:sz w:val="20"/>
        </w:rPr>
        <w:t>Conid</w:t>
      </w:r>
      <w:r>
        <w:t xml:space="preserve">, </w:t>
      </w:r>
      <w:r>
        <w:rPr>
          <w:rFonts w:ascii="Courier New" w:hAnsi="Courier New"/>
          <w:color w:val="C02040"/>
          <w:sz w:val="20"/>
        </w:rPr>
        <w:t>TransactionID</w:t>
      </w:r>
    </w:p>
    <w:p>
      <w:pPr>
        <w:pStyle w:val="Heading3"/>
      </w:pPr>
      <w:r>
        <w:t>5.6 Open Positions section (portfolio value — recommended)</w:t>
      </w:r>
    </w:p>
    <w:p>
      <w:r>
        <w:t>Enables accurate portfolio valuation using IBKR's own mark prices, instead of fetching from</w:t>
      </w:r>
    </w:p>
    <w:p>
      <w:r>
        <w:t>Yahoo Finance (which fails for European tickers like RENK, RHM, TKMS).</w:t>
      </w:r>
    </w:p>
    <w:p>
      <w:r>
        <w:t xml:space="preserve">In the left panel, check </w:t>
      </w:r>
      <w:r>
        <w:rPr>
          <w:b/>
        </w:rPr>
        <w:t>Open Positions</w:t>
      </w:r>
      <w:r>
        <w:t>, then select:</w:t>
      </w:r>
    </w:p>
    <w:p>
      <w:r>
        <w:rPr>
          <w:rFonts w:ascii="Courier New" w:hAnsi="Courier New"/>
          <w:color w:val="C02040"/>
          <w:sz w:val="20"/>
        </w:rPr>
        <w:t>Symbol</w:t>
      </w:r>
      <w:r>
        <w:t xml:space="preserve">, </w:t>
      </w:r>
      <w:r>
        <w:rPr>
          <w:rFonts w:ascii="Courier New" w:hAnsi="Courier New"/>
          <w:color w:val="C02040"/>
          <w:sz w:val="20"/>
        </w:rPr>
        <w:t>ISIN</w:t>
      </w:r>
      <w:r>
        <w:t xml:space="preserve">, </w:t>
      </w:r>
      <w:r>
        <w:rPr>
          <w:rFonts w:ascii="Courier New" w:hAnsi="Courier New"/>
          <w:color w:val="C02040"/>
          <w:sz w:val="20"/>
        </w:rPr>
        <w:t>Position</w:t>
      </w:r>
      <w:r>
        <w:t xml:space="preserve">, </w:t>
      </w:r>
      <w:r>
        <w:rPr>
          <w:rFonts w:ascii="Courier New" w:hAnsi="Courier New"/>
          <w:color w:val="C02040"/>
          <w:sz w:val="20"/>
        </w:rPr>
        <w:t>Mark Price</w:t>
      </w:r>
      <w:r>
        <w:t xml:space="preserve">, </w:t>
      </w:r>
      <w:r>
        <w:rPr>
          <w:rFonts w:ascii="Courier New" w:hAnsi="Courier New"/>
          <w:color w:val="C02040"/>
          <w:sz w:val="20"/>
        </w:rPr>
        <w:t>Currency</w:t>
      </w:r>
      <w:r>
        <w:t xml:space="preserve">, </w:t>
      </w:r>
      <w:r>
        <w:rPr>
          <w:rFonts w:ascii="Courier New" w:hAnsi="Courier New"/>
          <w:color w:val="C02040"/>
          <w:sz w:val="20"/>
        </w:rPr>
        <w:t>Asset Class</w:t>
      </w:r>
      <w:r>
        <w:t xml:space="preserve">, </w:t>
      </w:r>
      <w:r>
        <w:rPr>
          <w:rFonts w:ascii="Courier New" w:hAnsi="Courier New"/>
          <w:color w:val="C02040"/>
          <w:sz w:val="20"/>
        </w:rPr>
        <w:t>Level of Detail</w:t>
      </w:r>
    </w:p>
    <w:p>
      <w:r>
        <w:t xml:space="preserve">Set </w:t>
      </w:r>
      <w:r>
        <w:rPr>
          <w:b/>
        </w:rPr>
        <w:t>Level of Detail</w:t>
      </w:r>
      <w:r>
        <w:t xml:space="preserve"> to </w:t>
      </w:r>
      <w:r>
        <w:rPr>
          <w:rFonts w:ascii="Courier New" w:hAnsi="Courier New"/>
          <w:color w:val="C02040"/>
          <w:sz w:val="20"/>
        </w:rPr>
        <w:t>Summary</w:t>
      </w:r>
      <w:r>
        <w:t>.</w:t>
      </w:r>
    </w:p>
    <w:p>
      <w:r>
        <w:t xml:space="preserve">After adding this section, run </w:t>
      </w:r>
      <w:r>
        <w:rPr>
          <w:rFonts w:ascii="Courier New" w:hAnsi="Courier New"/>
          <w:color w:val="C02040"/>
          <w:sz w:val="20"/>
        </w:rPr>
        <w:t>--force-fetch-ibkr</w:t>
      </w:r>
      <w:r>
        <w:t xml:space="preserve"> once to re-download the updated query.</w:t>
      </w:r>
    </w:p>
    <w:p>
      <w:r>
        <w:t>The pipeline auto-detects and uses the Open Positions data thereafter.</w:t>
      </w:r>
    </w:p>
    <w:p>
      <w:pPr>
        <w:pStyle w:val="Heading3"/>
      </w:pPr>
      <w:r>
        <w:t>5.7 Cash Report section (cash balance — optional)</w:t>
      </w:r>
    </w:p>
    <w:p>
      <w:r>
        <w:t>Adds your total cash balance to the portfolio value in the Freedom dashboard. Optional.</w:t>
      </w:r>
    </w:p>
    <w:p>
      <w:r>
        <w:t xml:space="preserve">In the left panel, check </w:t>
      </w:r>
      <w:r>
        <w:rPr>
          <w:b/>
        </w:rPr>
        <w:t>Cash Report</w:t>
      </w:r>
      <w:r>
        <w:t xml:space="preserve"> (trade date basis), then select at minimum:</w:t>
      </w:r>
    </w:p>
    <w:p>
      <w:r>
        <w:rPr>
          <w:rFonts w:ascii="Courier New" w:hAnsi="Courier New"/>
          <w:color w:val="C02040"/>
          <w:sz w:val="20"/>
        </w:rPr>
        <w:t>Currency</w:t>
      </w:r>
      <w:r>
        <w:t xml:space="preserve">, </w:t>
      </w:r>
      <w:r>
        <w:rPr>
          <w:rFonts w:ascii="Courier New" w:hAnsi="Courier New"/>
          <w:color w:val="C02040"/>
          <w:sz w:val="20"/>
        </w:rPr>
        <w:t>Ending Cash</w:t>
      </w:r>
    </w:p>
    <w:p>
      <w:r>
        <w:t xml:space="preserve">Set </w:t>
      </w:r>
      <w:r>
        <w:rPr>
          <w:b/>
        </w:rPr>
        <w:t>Level of Detail</w:t>
      </w:r>
      <w:r>
        <w:t xml:space="preserve"> to </w:t>
      </w:r>
      <w:r>
        <w:rPr>
          <w:rFonts w:ascii="Courier New" w:hAnsi="Courier New"/>
          <w:color w:val="C02040"/>
          <w:sz w:val="20"/>
        </w:rPr>
        <w:t>Summary</w:t>
      </w:r>
      <w:r>
        <w:t>.</w:t>
      </w:r>
    </w:p>
    <w:p>
      <w:r>
        <w:t xml:space="preserve">After adding, run </w:t>
      </w:r>
      <w:r>
        <w:rPr>
          <w:rFonts w:ascii="Courier New" w:hAnsi="Courier New"/>
          <w:color w:val="C02040"/>
          <w:sz w:val="20"/>
        </w:rPr>
        <w:t>--force-fetch-ibkr</w:t>
      </w:r>
      <w:r>
        <w:t xml:space="preserve"> once. Auto-detected thereafter from the </w:t>
      </w:r>
      <w:r>
        <w:rPr>
          <w:rFonts w:ascii="Courier New" w:hAnsi="Courier New"/>
          <w:color w:val="C02040"/>
          <w:sz w:val="20"/>
        </w:rPr>
        <w:t>CRTT</w:t>
      </w:r>
      <w:r>
        <w:t xml:space="preserve"> section.</w:t>
      </w:r>
    </w:p>
    <w:p>
      <w:r>
        <w:t xml:space="preserve">The </w:t>
      </w:r>
      <w:r>
        <w:rPr>
          <w:rFonts w:ascii="Courier New" w:hAnsi="Courier New"/>
          <w:color w:val="C02040"/>
          <w:sz w:val="20"/>
        </w:rPr>
        <w:t>BASE_SUMMARY</w:t>
      </w:r>
      <w:r>
        <w:t xml:space="preserve"> row provides IB's own EUR-equivalent cash total — no FX lookup needed.</w:t>
      </w:r>
    </w:p>
    <w:p>
      <w:r>
        <w:t>Privacy note: if you prefer not to expose full cash balances, simply omit this section.</w:t>
      </w:r>
    </w:p>
    <w:p>
      <w:pPr>
        <w:pStyle w:val="Heading3"/>
      </w:pPr>
      <w:r>
        <w:t>5.8 All other sections</w:t>
      </w:r>
    </w:p>
    <w:p>
      <w:r>
        <w:t xml:space="preserve">Leave unchecked unless you have a specific need. Particularly: do </w:t>
      </w:r>
      <w:r>
        <w:rPr>
          <w:b/>
        </w:rPr>
        <w:t>not</w:t>
      </w:r>
      <w:r>
        <w:t xml:space="preserve"> enable Corporate</w:t>
      </w:r>
    </w:p>
    <w:p>
      <w:r>
        <w:t>Actions, Transfers, or Interest Accruals — these can create duplicate entries.</w:t>
      </w:r>
    </w:p>
    <w:p>
      <w:pPr>
        <w:pStyle w:val="Heading3"/>
      </w:pPr>
      <w:r>
        <w:t>5.9 Download and verify</w:t>
      </w:r>
    </w:p>
    <w:p>
      <w:pPr>
        <w:pStyle w:val="ListNumber"/>
      </w:pPr>
      <w:r>
        <w:t xml:space="preserve">Click </w:t>
      </w:r>
      <w:r>
        <w:rPr>
          <w:b/>
        </w:rPr>
        <w:t>Save</w:t>
      </w:r>
      <w:r>
        <w:t xml:space="preserve">, then </w:t>
      </w:r>
      <w:r>
        <w:rPr>
          <w:b/>
        </w:rPr>
        <w:t>Run</w:t>
      </w:r>
    </w:p>
    <w:p>
      <w:pPr>
        <w:pStyle w:val="ListNumber"/>
      </w:pPr>
      <w:r>
        <w:t xml:space="preserve">Download the CSV and save to </w:t>
      </w:r>
      <w:r>
        <w:rPr>
          <w:rFonts w:ascii="Courier New" w:hAnsi="Courier New"/>
          <w:color w:val="C02040"/>
          <w:sz w:val="20"/>
        </w:rPr>
        <w:t>users/{person}/data/IB/{year}/</w:t>
      </w:r>
    </w:p>
    <w:p>
      <w:pPr>
        <w:pStyle w:val="ListNumber"/>
      </w:pPr>
      <w:r>
        <w:t>Open in a text editor and verify it starts with:</w:t>
      </w:r>
    </w:p>
    <w:p>
      <w:pPr>
        <w:shd w:val="clear" w:color="auto" w:fill="F2F2F2"/>
        <w:spacing w:before="80" w:after="120"/>
        <w:ind w:left="288" w:right="288"/>
      </w:pPr>
      <w:r>
        <w:rPr>
          <w:rFonts w:ascii="Courier New" w:hAnsi="Courier New"/>
          <w:color w:val="242424"/>
          <w:sz w:val="17"/>
        </w:rPr>
        <w:t>"BOF","U1234567","Kapitalertrag-2025","2","2025-01-01","2025-12-31",...</w:t>
        <w:br/>
        <w:t>"BOA","U1234567"</w:t>
        <w:br/>
        <w:t>"BOS","TRNT","Trades; trade date basis"</w:t>
        <w:br/>
        <w:t>"HEADER","TRNT","ClientAccountID","CurrencyPrimary",...</w:t>
        <w:br/>
        <w:t>"DATA","TRNT","U1234567","EUR",...</w:t>
        <w:br/>
        <w:t>"EOS","TRNT","..."</w:t>
        <w:br/>
        <w:t>"BOS","CTRN","Cash Transactions"</w:t>
        <w:br/>
        <w:t>"HEADER","CTRN","ClientAccountID","CurrencyPrimary","AssetClass","Symbol",...</w:t>
      </w:r>
    </w:p>
    <w:p>
      <w:pPr>
        <w:spacing w:before="40" w:after="40"/>
      </w:pPr>
    </w:p>
    <w:p>
      <w:pPr>
        <w:pStyle w:val="Heading2"/>
      </w:pPr>
      <w:r>
        <w:t>6. Interactive Brokers — Auto-Fetch Setup</w:t>
      </w:r>
    </w:p>
    <w:p>
      <w:r>
        <w:t>Instead of manually downloading the CSV each time, the tool can fetch it automatically.</w:t>
      </w:r>
    </w:p>
    <w:p>
      <w:pPr>
        <w:pStyle w:val="Heading3"/>
      </w:pPr>
      <w:r>
        <w:t>6.1 Generate a Flex Web Service token</w:t>
      </w:r>
    </w:p>
    <w:p>
      <w:pPr>
        <w:pStyle w:val="ListNumber"/>
      </w:pPr>
      <w:r>
        <w:t>Log in to Client Portal</w:t>
      </w:r>
    </w:p>
    <w:p>
      <w:pPr>
        <w:pStyle w:val="ListNumber"/>
      </w:pPr>
      <w:r>
        <w:t xml:space="preserve">Navigate to: </w:t>
      </w:r>
      <w:r>
        <w:rPr>
          <w:b/>
        </w:rPr>
        <w:t>Settings → Flex Web Service → Manage Tokens</w:t>
      </w:r>
    </w:p>
    <w:p>
      <w:pPr>
        <w:pStyle w:val="ListNumber"/>
      </w:pPr>
      <w:r>
        <w:t xml:space="preserve">Click </w:t>
      </w:r>
      <w:r>
        <w:rPr>
          <w:b/>
        </w:rPr>
        <w:t>Create Token</w:t>
      </w:r>
      <w:r>
        <w:t xml:space="preserve"> → copy the token string (show it once only)</w:t>
      </w:r>
    </w:p>
    <w:p>
      <w:pPr>
        <w:pStyle w:val="Heading3"/>
      </w:pPr>
      <w:r>
        <w:t>6.2 Find your query ID</w:t>
      </w:r>
    </w:p>
    <w:p>
      <w:pPr>
        <w:pStyle w:val="ListNumber"/>
      </w:pPr>
      <w:r>
        <w:t xml:space="preserve">Navigate to: </w:t>
      </w:r>
      <w:r>
        <w:rPr>
          <w:b/>
        </w:rPr>
        <w:t>Reports → Flex Queries</w:t>
      </w:r>
    </w:p>
    <w:p>
      <w:pPr>
        <w:pStyle w:val="ListNumber"/>
      </w:pPr>
      <w:r>
        <w:t>Click the query name to open it</w:t>
      </w:r>
    </w:p>
    <w:p>
      <w:pPr>
        <w:pStyle w:val="ListNumber"/>
      </w:pPr>
      <w:r>
        <w:t xml:space="preserve">Look at the URL — the numeric ID at the end is your </w:t>
      </w:r>
      <w:r>
        <w:rPr>
          <w:rFonts w:ascii="Courier New" w:hAnsi="Courier New"/>
          <w:color w:val="C02040"/>
          <w:sz w:val="20"/>
        </w:rPr>
        <w:t>query_id</w:t>
      </w:r>
    </w:p>
    <w:p>
      <w:pPr>
        <w:pStyle w:val="Heading3"/>
      </w:pPr>
      <w:r>
        <w:t>6.3 Write credentials to secrets.local.yaml</w:t>
      </w:r>
    </w:p>
    <w:p>
      <w:pPr>
        <w:shd w:val="clear" w:color="auto" w:fill="F2F2F2"/>
        <w:spacing w:before="80" w:after="120"/>
        <w:ind w:left="288" w:right="288"/>
      </w:pPr>
      <w:r>
        <w:rPr>
          <w:rFonts w:ascii="Courier New" w:hAnsi="Courier New"/>
          <w:color w:val="242424"/>
          <w:sz w:val="17"/>
        </w:rPr>
        <w:t># users/{person}/secrets.local.yaml</w:t>
        <w:br/>
        <w:t>ibkr_flex:</w:t>
        <w:br/>
        <w:t xml:space="preserve">  token: "your_token_here"</w:t>
        <w:br/>
        <w:t xml:space="preserve">  query_id: 123456</w:t>
        <w:br/>
        <w:t xml:space="preserve">  # positions_query_id: 234567   # optional: separate Open Positions query</w:t>
      </w:r>
    </w:p>
    <w:p>
      <w:r>
        <w:t>⚠ This file is gitignored. Never copy its contents into any committed file.</w:t>
      </w:r>
    </w:p>
    <w:p>
      <w:pPr>
        <w:pStyle w:val="Heading3"/>
      </w:pPr>
      <w:r>
        <w:t>6.4 Usage</w:t>
      </w:r>
    </w:p>
    <w:p>
      <w:pPr>
        <w:shd w:val="clear" w:color="auto" w:fill="F2F2F2"/>
        <w:spacing w:before="80" w:after="120"/>
        <w:ind w:left="288" w:right="288"/>
      </w:pPr>
      <w:r>
        <w:rPr>
          <w:rFonts w:ascii="Courier New" w:hAnsi="Courier New"/>
          <w:color w:val="242424"/>
          <w:sz w:val="17"/>
        </w:rPr>
        <w:t># Fetch + run in one step (skips download if file already exists)</w:t>
        <w:br/>
        <w:t>python main.py --person matthias --year 2025 --fetch-ibkr</w:t>
        <w:br/>
        <w:br/>
        <w:t># Force re-download even if a file already exists</w:t>
        <w:br/>
        <w:t>python main.py --person matthias --year 2025 --force-fetch-ibkr</w:t>
      </w:r>
    </w:p>
    <w:p>
      <w:r>
        <w:t xml:space="preserve">The downloaded file is saved to </w:t>
      </w:r>
      <w:r>
        <w:rPr>
          <w:rFonts w:ascii="Courier New" w:hAnsi="Courier New"/>
          <w:color w:val="C02040"/>
          <w:sz w:val="20"/>
        </w:rPr>
        <w:t>users/{person}/data/IB/{person}_ibkr_flex.csv</w:t>
      </w:r>
      <w:r>
        <w:t xml:space="preserve"> and picked up</w:t>
      </w:r>
    </w:p>
    <w:p>
      <w:r>
        <w:t>automatically on subsequent runs (via rglob).</w:t>
      </w:r>
    </w:p>
    <w:p>
      <w:pPr>
        <w:pStyle w:val="Heading3"/>
      </w:pPr>
      <w:r>
        <w:t>6.5 --fetch-ibkr vs --force-fetch-ibkr</w:t>
      </w:r>
    </w:p>
    <w:tbl>
      <w:tblPr>
        <w:tblStyle w:val="TableGrid"/>
        <w:tblW w:type="auto" w:w="0"/>
        <w:tblLook w:firstColumn="1" w:firstRow="1" w:lastColumn="0" w:lastRow="0" w:noHBand="0" w:noVBand="1" w:val="04A0"/>
      </w:tblPr>
      <w:tblGrid>
        <w:gridCol w:w="4680"/>
        <w:gridCol w:w="4680"/>
      </w:tblGrid>
      <w:tr>
        <w:tc>
          <w:tcPr>
            <w:tcW w:type="dxa" w:w="4680"/>
            <w:shd w:val="clear" w:color="auto" w:fill="2E74B5"/>
          </w:tcPr>
          <w:p>
            <w:pPr>
              <w:spacing w:before="60" w:after="60"/>
            </w:pPr>
            <w:r>
              <w:rPr>
                <w:b/>
                <w:color w:val="FFFFFF"/>
                <w:sz w:val="18"/>
              </w:rPr>
              <w:t>Flag</w:t>
            </w:r>
          </w:p>
        </w:tc>
        <w:tc>
          <w:tcPr>
            <w:tcW w:type="dxa" w:w="4680"/>
            <w:shd w:val="clear" w:color="auto" w:fill="2E74B5"/>
          </w:tcPr>
          <w:p>
            <w:pPr>
              <w:spacing w:before="60" w:after="60"/>
            </w:pPr>
            <w:r>
              <w:rPr>
                <w:b/>
                <w:color w:val="FFFFFF"/>
                <w:sz w:val="18"/>
              </w:rPr>
              <w:t>Behaviour</w:t>
            </w:r>
          </w:p>
        </w:tc>
      </w:tr>
      <w:tr>
        <w:tc>
          <w:tcPr>
            <w:tcW w:type="dxa" w:w="4680"/>
          </w:tcPr>
          <w:p>
            <w:pPr>
              <w:spacing w:before="40" w:after="40"/>
            </w:pPr>
            <w:r>
              <w:rPr>
                <w:rFonts w:ascii="Courier New" w:hAnsi="Courier New"/>
                <w:color w:val="C02040"/>
                <w:sz w:val="16"/>
              </w:rPr>
              <w:t>--fetch-ibkr</w:t>
            </w:r>
          </w:p>
        </w:tc>
        <w:tc>
          <w:tcPr>
            <w:tcW w:type="dxa" w:w="4680"/>
          </w:tcPr>
          <w:p>
            <w:pPr>
              <w:spacing w:before="40" w:after="40"/>
            </w:pPr>
            <w:r>
              <w:rPr>
                <w:sz w:val="18"/>
              </w:rPr>
              <w:t xml:space="preserve">Download from IBKR </w:t>
            </w:r>
            <w:r>
              <w:rPr>
                <w:b/>
                <w:sz w:val="18"/>
              </w:rPr>
              <w:t>only if no file exists</w:t>
            </w:r>
            <w:r>
              <w:rPr>
                <w:sz w:val="18"/>
              </w:rPr>
              <w:t xml:space="preserve"> at the save path. If a previously downloaded file is present, it is reused silently. Safe to include in any run without risking rate-limit hits.</w:t>
            </w:r>
          </w:p>
        </w:tc>
      </w:tr>
      <w:tr>
        <w:tc>
          <w:tcPr>
            <w:tcW w:type="dxa" w:w="4680"/>
            <w:shd w:val="clear" w:color="auto" w:fill="EBF3FB"/>
          </w:tcPr>
          <w:p>
            <w:pPr>
              <w:spacing w:before="40" w:after="40"/>
            </w:pPr>
            <w:r>
              <w:rPr>
                <w:rFonts w:ascii="Courier New" w:hAnsi="Courier New"/>
                <w:color w:val="C02040"/>
                <w:sz w:val="16"/>
              </w:rPr>
              <w:t>--force-fetch-ibkr</w:t>
            </w:r>
          </w:p>
        </w:tc>
        <w:tc>
          <w:tcPr>
            <w:tcW w:type="dxa" w:w="4680"/>
            <w:shd w:val="clear" w:color="auto" w:fill="EBF3FB"/>
          </w:tcPr>
          <w:p>
            <w:pPr>
              <w:spacing w:before="40" w:after="40"/>
            </w:pPr>
            <w:r>
              <w:rPr>
                <w:b/>
                <w:sz w:val="18"/>
              </w:rPr>
              <w:t>Always re-download</w:t>
            </w:r>
            <w:r>
              <w:rPr>
                <w:sz w:val="18"/>
              </w:rPr>
              <w:t xml:space="preserve">, overwriting any existing file. Use this when you need fresh data (e.g. you ran the tool earlier today and new transactions have since settled), or after changing the Flex Query layout in IBKR. Implies </w:t>
            </w:r>
            <w:r>
              <w:rPr>
                <w:rFonts w:ascii="Courier New" w:hAnsi="Courier New"/>
                <w:color w:val="C02040"/>
                <w:sz w:val="16"/>
              </w:rPr>
              <w:t>--fetch-ibkr</w:t>
            </w:r>
            <w:r>
              <w:rPr>
                <w:sz w:val="18"/>
              </w:rPr>
              <w:t>.</w:t>
            </w:r>
          </w:p>
        </w:tc>
      </w:tr>
    </w:tbl>
    <w:p/>
    <w:p>
      <w:r>
        <w:t>The same logic applies to the Open Positions variants:</w:t>
      </w:r>
    </w:p>
    <w:tbl>
      <w:tblPr>
        <w:tblStyle w:val="TableGrid"/>
        <w:tblW w:type="auto" w:w="0"/>
        <w:tblLook w:firstColumn="1" w:firstRow="1" w:lastColumn="0" w:lastRow="0" w:noHBand="0" w:noVBand="1" w:val="04A0"/>
      </w:tblPr>
      <w:tblGrid>
        <w:gridCol w:w="4680"/>
        <w:gridCol w:w="4680"/>
      </w:tblGrid>
      <w:tr>
        <w:tc>
          <w:tcPr>
            <w:tcW w:type="dxa" w:w="4680"/>
            <w:shd w:val="clear" w:color="auto" w:fill="2E74B5"/>
          </w:tcPr>
          <w:p>
            <w:pPr>
              <w:spacing w:before="60" w:after="60"/>
            </w:pPr>
            <w:r>
              <w:rPr>
                <w:b/>
                <w:color w:val="FFFFFF"/>
                <w:sz w:val="18"/>
              </w:rPr>
              <w:t>Flag</w:t>
            </w:r>
          </w:p>
        </w:tc>
        <w:tc>
          <w:tcPr>
            <w:tcW w:type="dxa" w:w="4680"/>
            <w:shd w:val="clear" w:color="auto" w:fill="2E74B5"/>
          </w:tcPr>
          <w:p>
            <w:pPr>
              <w:spacing w:before="60" w:after="60"/>
            </w:pPr>
            <w:r>
              <w:rPr>
                <w:b/>
                <w:color w:val="FFFFFF"/>
                <w:sz w:val="18"/>
              </w:rPr>
              <w:t>Behaviour</w:t>
            </w:r>
          </w:p>
        </w:tc>
      </w:tr>
      <w:tr>
        <w:tc>
          <w:tcPr>
            <w:tcW w:type="dxa" w:w="4680"/>
          </w:tcPr>
          <w:p>
            <w:pPr>
              <w:spacing w:before="40" w:after="40"/>
            </w:pPr>
            <w:r>
              <w:rPr>
                <w:rFonts w:ascii="Courier New" w:hAnsi="Courier New"/>
                <w:color w:val="C02040"/>
                <w:sz w:val="16"/>
              </w:rPr>
              <w:t>--fetch-ibkr-positions</w:t>
            </w:r>
          </w:p>
        </w:tc>
        <w:tc>
          <w:tcPr>
            <w:tcW w:type="dxa" w:w="4680"/>
          </w:tcPr>
          <w:p>
            <w:pPr>
              <w:spacing w:before="40" w:after="40"/>
            </w:pPr>
            <w:r>
              <w:rPr>
                <w:sz w:val="18"/>
              </w:rPr>
              <w:t>Download Open Positions only if no cached file exists.</w:t>
            </w:r>
          </w:p>
        </w:tc>
      </w:tr>
      <w:tr>
        <w:tc>
          <w:tcPr>
            <w:tcW w:type="dxa" w:w="4680"/>
            <w:shd w:val="clear" w:color="auto" w:fill="EBF3FB"/>
          </w:tcPr>
          <w:p>
            <w:pPr>
              <w:spacing w:before="40" w:after="40"/>
            </w:pPr>
            <w:r>
              <w:rPr>
                <w:rFonts w:ascii="Courier New" w:hAnsi="Courier New"/>
                <w:color w:val="C02040"/>
                <w:sz w:val="16"/>
              </w:rPr>
              <w:t>--force-fetch-ibkr-positions</w:t>
            </w:r>
          </w:p>
        </w:tc>
        <w:tc>
          <w:tcPr>
            <w:tcW w:type="dxa" w:w="4680"/>
            <w:shd w:val="clear" w:color="auto" w:fill="EBF3FB"/>
          </w:tcPr>
          <w:p>
            <w:pPr>
              <w:spacing w:before="40" w:after="40"/>
            </w:pPr>
            <w:r>
              <w:rPr>
                <w:sz w:val="18"/>
              </w:rPr>
              <w:t>Always re-download Open Positions. Use after editing the Flex Query or when portfolio values look stale.</w:t>
            </w:r>
          </w:p>
        </w:tc>
      </w:tr>
    </w:tbl>
    <w:p/>
    <w:p>
      <w:r>
        <w:rPr>
          <w:b/>
        </w:rPr>
        <w:t>Error 1001</w:t>
      </w:r>
      <w:r>
        <w:t>: IBKR enforces a ~10-minute cooldown between consecutive fetches. If you hit it,</w:t>
      </w:r>
    </w:p>
    <w:p>
      <w:r>
        <w:t xml:space="preserve">wait 10 minutes and re-run with </w:t>
      </w:r>
      <w:r>
        <w:rPr>
          <w:rFonts w:ascii="Courier New" w:hAnsi="Courier New"/>
          <w:color w:val="C02040"/>
          <w:sz w:val="20"/>
        </w:rPr>
        <w:t>--force-fetch-ibkr</w:t>
      </w:r>
      <w:r>
        <w:t xml:space="preserve">. Using plain </w:t>
      </w:r>
      <w:r>
        <w:rPr>
          <w:rFonts w:ascii="Courier New" w:hAnsi="Courier New"/>
          <w:color w:val="C02040"/>
          <w:sz w:val="20"/>
        </w:rPr>
        <w:t>--fetch-ibkr</w:t>
      </w:r>
      <w:r>
        <w:t xml:space="preserve"> will not</w:t>
      </w:r>
    </w:p>
    <w:p>
      <w:r>
        <w:t>trigger a new fetch (the existing file is reused), so it is safe to run immediately.</w:t>
      </w:r>
    </w:p>
    <w:p>
      <w:pPr>
        <w:spacing w:before="40" w:after="40"/>
      </w:pPr>
    </w:p>
    <w:p>
      <w:pPr>
        <w:pStyle w:val="Heading2"/>
      </w:pPr>
      <w:r>
        <w:t>7. SAXO Bank Setup</w:t>
      </w:r>
    </w:p>
    <w:p>
      <w:pPr>
        <w:pStyle w:val="Heading3"/>
      </w:pPr>
      <w:r>
        <w:t>7.1 Which reports to export</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2E74B5"/>
          </w:tcPr>
          <w:p>
            <w:pPr>
              <w:spacing w:before="60" w:after="60"/>
            </w:pPr>
            <w:r>
              <w:rPr>
                <w:b/>
                <w:color w:val="FFFFFF"/>
                <w:sz w:val="18"/>
              </w:rPr>
              <w:t>Need</w:t>
            </w:r>
          </w:p>
        </w:tc>
        <w:tc>
          <w:tcPr>
            <w:tcW w:type="dxa" w:w="3120"/>
            <w:shd w:val="clear" w:color="auto" w:fill="2E74B5"/>
          </w:tcPr>
          <w:p>
            <w:pPr>
              <w:spacing w:before="60" w:after="60"/>
            </w:pPr>
            <w:r>
              <w:rPr>
                <w:b/>
                <w:color w:val="FFFFFF"/>
                <w:sz w:val="18"/>
              </w:rPr>
              <w:t>Export type</w:t>
            </w:r>
          </w:p>
        </w:tc>
        <w:tc>
          <w:tcPr>
            <w:tcW w:type="dxa" w:w="3120"/>
            <w:shd w:val="clear" w:color="auto" w:fill="2E74B5"/>
          </w:tcPr>
          <w:p>
            <w:pPr>
              <w:spacing w:before="60" w:after="60"/>
            </w:pPr>
            <w:r>
              <w:rPr>
                <w:b/>
                <w:color w:val="FFFFFF"/>
                <w:sz w:val="18"/>
              </w:rPr>
              <w:t>Notes</w:t>
            </w:r>
          </w:p>
        </w:tc>
      </w:tr>
      <w:tr>
        <w:tc>
          <w:tcPr>
            <w:tcW w:type="dxa" w:w="3120"/>
          </w:tcPr>
          <w:p>
            <w:pPr>
              <w:spacing w:before="40" w:after="40"/>
            </w:pPr>
            <w:r>
              <w:rPr>
                <w:sz w:val="18"/>
              </w:rPr>
              <w:t>Capital gains (buys/sells)</w:t>
            </w:r>
          </w:p>
        </w:tc>
        <w:tc>
          <w:tcPr>
            <w:tcW w:type="dxa" w:w="3120"/>
          </w:tcPr>
          <w:p>
            <w:pPr>
              <w:spacing w:before="40" w:after="40"/>
            </w:pPr>
            <w:r>
              <w:rPr>
                <w:b/>
                <w:sz w:val="18"/>
              </w:rPr>
              <w:t>ClosedPositions</w:t>
            </w:r>
            <w:r>
              <w:rPr>
                <w:sz w:val="18"/>
              </w:rPr>
              <w:t xml:space="preserve"> xlsx</w:t>
            </w:r>
          </w:p>
        </w:tc>
        <w:tc>
          <w:tcPr>
            <w:tcW w:type="dxa" w:w="3120"/>
          </w:tcPr>
          <w:p>
            <w:pPr>
              <w:spacing w:before="40" w:after="40"/>
            </w:pPr>
            <w:r>
              <w:rPr>
                <w:sz w:val="18"/>
              </w:rPr>
              <w:t>Real quantities per lot — preferred for DK account 2024+</w:t>
            </w:r>
          </w:p>
        </w:tc>
      </w:tr>
      <w:tr>
        <w:tc>
          <w:tcPr>
            <w:tcW w:type="dxa" w:w="3120"/>
            <w:shd w:val="clear" w:color="auto" w:fill="EBF3FB"/>
          </w:tcPr>
          <w:p>
            <w:pPr>
              <w:spacing w:before="40" w:after="40"/>
            </w:pPr>
            <w:r>
              <w:rPr>
                <w:sz w:val="18"/>
              </w:rPr>
              <w:t>Dividends</w:t>
            </w:r>
          </w:p>
        </w:tc>
        <w:tc>
          <w:tcPr>
            <w:tcW w:type="dxa" w:w="3120"/>
            <w:shd w:val="clear" w:color="auto" w:fill="EBF3FB"/>
          </w:tcPr>
          <w:p>
            <w:pPr>
              <w:spacing w:before="40" w:after="40"/>
            </w:pPr>
            <w:r>
              <w:rPr>
                <w:b/>
                <w:sz w:val="18"/>
              </w:rPr>
              <w:t>AggregatedAmounts</w:t>
            </w:r>
            <w:r>
              <w:rPr>
                <w:sz w:val="18"/>
              </w:rPr>
              <w:t xml:space="preserve"> xlsx</w:t>
            </w:r>
          </w:p>
        </w:tc>
        <w:tc>
          <w:tcPr>
            <w:tcW w:type="dxa" w:w="3120"/>
            <w:shd w:val="clear" w:color="auto" w:fill="EBF3FB"/>
          </w:tcPr>
          <w:p>
            <w:pPr>
              <w:spacing w:before="40" w:after="40"/>
            </w:pPr>
            <w:r>
              <w:rPr>
                <w:sz w:val="18"/>
              </w:rPr>
              <w:t>Richer WHT/currency data available in ShareDividends</w:t>
            </w:r>
          </w:p>
        </w:tc>
      </w:tr>
      <w:tr>
        <w:tc>
          <w:tcPr>
            <w:tcW w:type="dxa" w:w="3120"/>
          </w:tcPr>
          <w:p>
            <w:pPr>
              <w:spacing w:before="40" w:after="40"/>
            </w:pPr>
            <w:r>
              <w:rPr>
                <w:sz w:val="18"/>
              </w:rPr>
              <w:t>Dividends (with WHT detail)</w:t>
            </w:r>
          </w:p>
        </w:tc>
        <w:tc>
          <w:tcPr>
            <w:tcW w:type="dxa" w:w="3120"/>
          </w:tcPr>
          <w:p>
            <w:pPr>
              <w:spacing w:before="40" w:after="40"/>
            </w:pPr>
            <w:r>
              <w:rPr>
                <w:b/>
                <w:sz w:val="18"/>
              </w:rPr>
              <w:t>ShareDividends</w:t>
            </w:r>
            <w:r>
              <w:rPr>
                <w:sz w:val="18"/>
              </w:rPr>
              <w:t xml:space="preserve"> xlsx</w:t>
            </w:r>
          </w:p>
        </w:tc>
        <w:tc>
          <w:tcPr>
            <w:tcW w:type="dxa" w:w="3120"/>
          </w:tcPr>
          <w:p>
            <w:pPr>
              <w:spacing w:before="40" w:after="40"/>
            </w:pPr>
            <w:r>
              <w:rPr>
                <w:sz w:val="18"/>
              </w:rPr>
              <w:t>Better than AA for individual dividend breakdown</w:t>
            </w:r>
          </w:p>
        </w:tc>
      </w:tr>
    </w:tbl>
    <w:p/>
    <w:p>
      <w:r>
        <w:rPr>
          <w:b/>
        </w:rPr>
        <w:t>Recommended workflow (DK account, 2024+):</w:t>
      </w:r>
    </w:p>
    <w:p>
      <w:pPr>
        <w:pStyle w:val="ListNumber"/>
      </w:pPr>
      <w:r>
        <w:t xml:space="preserve">Export </w:t>
      </w:r>
      <w:r>
        <w:rPr>
          <w:b/>
        </w:rPr>
        <w:t>ClosedPositions</w:t>
      </w:r>
      <w:r>
        <w:t xml:space="preserve"> for capital gains</w:t>
      </w:r>
    </w:p>
    <w:p>
      <w:pPr>
        <w:pStyle w:val="ListNumber"/>
      </w:pPr>
      <w:r>
        <w:t xml:space="preserve">Export </w:t>
      </w:r>
      <w:r>
        <w:rPr>
          <w:b/>
        </w:rPr>
        <w:t>AggregatedAmounts</w:t>
      </w:r>
      <w:r>
        <w:t xml:space="preserve"> with </w:t>
      </w:r>
      <w:r>
        <w:rPr>
          <w:rFonts w:ascii="Courier New" w:hAnsi="Courier New"/>
          <w:color w:val="C02040"/>
          <w:sz w:val="20"/>
        </w:rPr>
        <w:t>saxo_skip_agg_trades: true</w:t>
      </w:r>
      <w:r>
        <w:t xml:space="preserve"> for dividends only  </w:t>
      </w:r>
    </w:p>
    <w:p>
      <w:r>
        <w:t xml:space="preserve">   — OR — export </w:t>
      </w:r>
      <w:r>
        <w:rPr>
          <w:b/>
        </w:rPr>
        <w:t>ShareDividends</w:t>
      </w:r>
      <w:r>
        <w:t xml:space="preserve"> and set </w:t>
      </w:r>
      <w:r>
        <w:rPr>
          <w:rFonts w:ascii="Courier New" w:hAnsi="Courier New"/>
          <w:color w:val="C02040"/>
          <w:sz w:val="20"/>
        </w:rPr>
        <w:t>saxo_skip_agg_dividends: true</w:t>
      </w:r>
      <w:r>
        <w:t xml:space="preserve"> in AggregatedAmounts</w:t>
      </w:r>
    </w:p>
    <w:p>
      <w:pPr>
        <w:pStyle w:val="Heading3"/>
      </w:pPr>
      <w:r>
        <w:t>7.2 Where to export in the SAXO interface</w:t>
      </w:r>
    </w:p>
    <w:p>
      <w:r>
        <w:t xml:space="preserve">Log in → </w:t>
      </w:r>
      <w:r>
        <w:rPr>
          <w:b/>
        </w:rPr>
        <w:t>Account → Reports → Account Statement</w:t>
      </w:r>
    </w:p>
    <w:p>
      <w:pPr>
        <w:pStyle w:val="ListBullet"/>
      </w:pPr>
      <w:r>
        <w:rPr>
          <w:b/>
        </w:rPr>
        <w:t>ClosedPositions</w:t>
      </w:r>
      <w:r>
        <w:t>: Account Statement → Format: Excel → Report type: Closed Positions</w:t>
      </w:r>
    </w:p>
    <w:p>
      <w:pPr>
        <w:pStyle w:val="ListBullet"/>
      </w:pPr>
      <w:r>
        <w:rPr>
          <w:b/>
        </w:rPr>
        <w:t>AggregatedAmounts</w:t>
      </w:r>
      <w:r>
        <w:t>: Account Statement → Format: Excel → Report type: Aggregated Amounts</w:t>
      </w:r>
    </w:p>
    <w:p>
      <w:pPr>
        <w:pStyle w:val="ListBullet"/>
      </w:pPr>
      <w:r>
        <w:rPr>
          <w:b/>
        </w:rPr>
        <w:t>ShareDividends</w:t>
      </w:r>
      <w:r>
        <w:t>: Account Statement → Format: Excel → Report type: Share Dividends</w:t>
      </w:r>
    </w:p>
    <w:p>
      <w:r>
        <w:t xml:space="preserve">Save files to </w:t>
      </w:r>
      <w:r>
        <w:rPr>
          <w:rFonts w:ascii="Courier New" w:hAnsi="Courier New"/>
          <w:color w:val="C02040"/>
          <w:sz w:val="20"/>
        </w:rPr>
        <w:t>users/{person}/data/SAXO/{year}/</w:t>
      </w:r>
      <w:r>
        <w:t>.</w:t>
      </w:r>
    </w:p>
    <w:p>
      <w:pPr>
        <w:pStyle w:val="Heading3"/>
      </w:pPr>
      <w:r>
        <w:t>7.3 Quantity convention (AggregatedAmounts)</w:t>
      </w:r>
    </w:p>
    <w:p>
      <w:r>
        <w:t>SAXO's AggregatedAmounts report carries no per-share quantity. Each row is one trade with a</w:t>
      </w:r>
    </w:p>
    <w:p>
      <w:r>
        <w:t xml:space="preserve">total EUR amount. The parser stores </w:t>
      </w:r>
      <w:r>
        <w:rPr>
          <w:rFonts w:ascii="Courier New" w:hAnsi="Courier New"/>
          <w:color w:val="C02040"/>
          <w:sz w:val="20"/>
        </w:rPr>
        <w:t>quantity=1</w:t>
      </w:r>
      <w:r>
        <w:t xml:space="preserve"> for each trade, making </w:t>
      </w:r>
      <w:r>
        <w:rPr>
          <w:rFonts w:ascii="Courier New" w:hAnsi="Courier New"/>
          <w:color w:val="C02040"/>
          <w:sz w:val="20"/>
        </w:rPr>
        <w:t>cost_per_unit = total</w:t>
      </w:r>
      <w:r>
        <w:t>.</w:t>
      </w:r>
    </w:p>
    <w:p>
      <w:r>
        <w:t>FIFO consumes exactly one lot per sell — correct given the available data.</w:t>
      </w:r>
    </w:p>
    <w:p>
      <w:r>
        <w:rPr>
          <w:b/>
        </w:rPr>
        <w:t>Consequence</w:t>
      </w:r>
      <w:r>
        <w:t xml:space="preserve">: </w:t>
      </w:r>
      <w:r>
        <w:rPr>
          <w:rFonts w:ascii="Courier New" w:hAnsi="Courier New"/>
          <w:color w:val="C02040"/>
          <w:sz w:val="20"/>
        </w:rPr>
        <w:t>manual_cost_basis</w:t>
      </w:r>
      <w:r>
        <w:t xml:space="preserve"> entries must also use </w:t>
      </w:r>
      <w:r>
        <w:rPr>
          <w:rFonts w:ascii="Courier New" w:hAnsi="Courier New"/>
          <w:color w:val="C02040"/>
          <w:sz w:val="20"/>
        </w:rPr>
        <w:t>quantity: 1</w:t>
      </w:r>
      <w:r>
        <w:t>, not the real share count.</w:t>
      </w:r>
    </w:p>
    <w:p>
      <w:pPr>
        <w:pStyle w:val="Heading3"/>
      </w:pPr>
      <w:r>
        <w:t>7.4 SG → DK account migration (2024)</w:t>
      </w:r>
    </w:p>
    <w:p>
      <w:r>
        <w:t>Lots opened in the Singapore account (pre-2024) were transferred to the DK account with a</w:t>
      </w:r>
    </w:p>
    <w:p>
      <w:r>
        <w:t xml:space="preserve">transfer date as the </w:t>
      </w:r>
      <w:r>
        <w:rPr>
          <w:rFonts w:ascii="Courier New" w:hAnsi="Courier New"/>
          <w:color w:val="C02040"/>
          <w:sz w:val="20"/>
        </w:rPr>
        <w:t>Trade Date Open</w:t>
      </w:r>
      <w:r>
        <w:t>. To avoid using the wrong FX date for these lots:</w:t>
      </w:r>
    </w:p>
    <w:p>
      <w:pPr>
        <w:pStyle w:val="ListNumber"/>
      </w:pPr>
      <w:r>
        <w:t xml:space="preserve">Seed them via </w:t>
      </w:r>
      <w:r>
        <w:rPr>
          <w:rFonts w:ascii="Courier New" w:hAnsi="Courier New"/>
          <w:color w:val="C02040"/>
          <w:sz w:val="20"/>
        </w:rPr>
        <w:t>manual_cost_basis</w:t>
      </w:r>
      <w:r>
        <w:t xml:space="preserve"> with the correct original cost</w:t>
      </w:r>
    </w:p>
    <w:p>
      <w:pPr>
        <w:pStyle w:val="ListNumber"/>
      </w:pPr>
      <w:r>
        <w:t xml:space="preserve">Add the transfer date to </w:t>
      </w:r>
      <w:r>
        <w:rPr>
          <w:rFonts w:ascii="Courier New" w:hAnsi="Courier New"/>
          <w:color w:val="C02040"/>
          <w:sz w:val="20"/>
        </w:rPr>
        <w:t>saxo_closedpos_skip_buy_open_dates</w:t>
      </w:r>
      <w:r>
        <w:t>:</w:t>
      </w:r>
    </w:p>
    <w:p>
      <w:pPr>
        <w:shd w:val="clear" w:color="auto" w:fill="F2F2F2"/>
        <w:spacing w:before="80" w:after="120"/>
        <w:ind w:left="288" w:right="288"/>
      </w:pPr>
      <w:r>
        <w:rPr>
          <w:rFonts w:ascii="Courier New" w:hAnsi="Courier New"/>
          <w:color w:val="242424"/>
          <w:sz w:val="17"/>
        </w:rPr>
        <w:t>saxo_closedpos_skip_buy_open_dates:</w:t>
        <w:br/>
        <w:t xml:space="preserve">  - "2024-03-07"   # SG → DK transfer date</w:t>
      </w:r>
    </w:p>
    <w:p>
      <w:pPr>
        <w:spacing w:before="40" w:after="40"/>
      </w:pPr>
    </w:p>
    <w:p>
      <w:pPr>
        <w:pStyle w:val="Heading2"/>
      </w:pPr>
      <w:r>
        <w:t>8. E*Trade Setup</w:t>
      </w:r>
    </w:p>
    <w:p>
      <w:pPr>
        <w:pStyle w:val="Heading3"/>
      </w:pPr>
      <w:r>
        <w:t>8.1 Two format generations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2E74B5"/>
          </w:tcPr>
          <w:p>
            <w:pPr>
              <w:spacing w:before="60" w:after="60"/>
            </w:pPr>
            <w:r>
              <w:rPr>
                <w:b/>
                <w:color w:val="FFFFFF"/>
                <w:sz w:val="18"/>
              </w:rPr>
              <w:t>Period</w:t>
            </w:r>
          </w:p>
        </w:tc>
        <w:tc>
          <w:tcPr>
            <w:tcW w:type="dxa" w:w="3120"/>
            <w:shd w:val="clear" w:color="auto" w:fill="2E74B5"/>
          </w:tcPr>
          <w:p>
            <w:pPr>
              <w:spacing w:before="60" w:after="60"/>
            </w:pPr>
            <w:r>
              <w:rPr>
                <w:b/>
                <w:color w:val="FFFFFF"/>
                <w:sz w:val="18"/>
              </w:rPr>
              <w:t>Format</w:t>
            </w:r>
          </w:p>
        </w:tc>
        <w:tc>
          <w:tcPr>
            <w:tcW w:type="dxa" w:w="3120"/>
            <w:shd w:val="clear" w:color="auto" w:fill="2E74B5"/>
          </w:tcPr>
          <w:p>
            <w:pPr>
              <w:spacing w:before="60" w:after="60"/>
            </w:pPr>
            <w:r>
              <w:rPr>
                <w:b/>
                <w:color w:val="FFFFFF"/>
                <w:sz w:val="18"/>
              </w:rPr>
              <w:t>Account label</w:t>
            </w:r>
          </w:p>
        </w:tc>
      </w:tr>
      <w:tr>
        <w:tc>
          <w:tcPr>
            <w:tcW w:type="dxa" w:w="3120"/>
          </w:tcPr>
          <w:p>
            <w:pPr>
              <w:spacing w:before="40" w:after="40"/>
            </w:pPr>
            <w:r>
              <w:rPr>
                <w:sz w:val="18"/>
              </w:rPr>
              <w:t>2020–2021</w:t>
            </w:r>
          </w:p>
        </w:tc>
        <w:tc>
          <w:tcPr>
            <w:tcW w:type="dxa" w:w="3120"/>
          </w:tcPr>
          <w:p>
            <w:pPr>
              <w:spacing w:before="40" w:after="40"/>
            </w:pPr>
            <w:r>
              <w:rPr>
                <w:sz w:val="18"/>
              </w:rPr>
              <w:t>Old E*TRADE Securities (quarterly PDFs)</w:t>
            </w:r>
          </w:p>
        </w:tc>
        <w:tc>
          <w:tcPr>
            <w:tcW w:type="dxa" w:w="3120"/>
          </w:tcPr>
          <w:p>
            <w:pPr>
              <w:spacing w:before="40" w:after="40"/>
            </w:pPr>
            <w:r>
              <w:rPr>
                <w:sz w:val="18"/>
              </w:rPr>
              <w:t>XXXX0725</w:t>
            </w:r>
          </w:p>
        </w:tc>
      </w:tr>
      <w:tr>
        <w:tc>
          <w:tcPr>
            <w:tcW w:type="dxa" w:w="3120"/>
            <w:shd w:val="clear" w:color="auto" w:fill="EBF3FB"/>
          </w:tcPr>
          <w:p>
            <w:pPr>
              <w:spacing w:before="40" w:after="40"/>
            </w:pPr>
            <w:r>
              <w:rPr>
                <w:sz w:val="18"/>
              </w:rPr>
              <w:t>2022–Aug 2023</w:t>
            </w:r>
          </w:p>
        </w:tc>
        <w:tc>
          <w:tcPr>
            <w:tcW w:type="dxa" w:w="3120"/>
            <w:shd w:val="clear" w:color="auto" w:fill="EBF3FB"/>
          </w:tcPr>
          <w:p>
            <w:pPr>
              <w:spacing w:before="40" w:after="40"/>
            </w:pPr>
            <w:r>
              <w:rPr>
                <w:sz w:val="18"/>
              </w:rPr>
              <w:t>Old E*TRADE Securities (monthly PDFs)</w:t>
            </w:r>
          </w:p>
        </w:tc>
        <w:tc>
          <w:tcPr>
            <w:tcW w:type="dxa" w:w="3120"/>
            <w:shd w:val="clear" w:color="auto" w:fill="EBF3FB"/>
          </w:tcPr>
          <w:p>
            <w:pPr>
              <w:spacing w:before="40" w:after="40"/>
            </w:pPr>
            <w:r>
              <w:rPr>
                <w:sz w:val="18"/>
              </w:rPr>
              <w:t>XXXX0725</w:t>
            </w:r>
          </w:p>
        </w:tc>
      </w:tr>
      <w:tr>
        <w:tc>
          <w:tcPr>
            <w:tcW w:type="dxa" w:w="3120"/>
          </w:tcPr>
          <w:p>
            <w:pPr>
              <w:spacing w:before="40" w:after="40"/>
            </w:pPr>
            <w:r>
              <w:rPr>
                <w:sz w:val="18"/>
              </w:rPr>
              <w:t>Sep 2023+</w:t>
            </w:r>
          </w:p>
        </w:tc>
        <w:tc>
          <w:tcPr>
            <w:tcW w:type="dxa" w:w="3120"/>
          </w:tcPr>
          <w:p>
            <w:pPr>
              <w:spacing w:before="40" w:after="40"/>
            </w:pPr>
            <w:r>
              <w:rPr>
                <w:sz w:val="18"/>
              </w:rPr>
              <w:t>E*Trade from Morgan Stanley (monthly PDFs)</w:t>
            </w:r>
          </w:p>
        </w:tc>
        <w:tc>
          <w:tcPr>
            <w:tcW w:type="dxa" w:w="3120"/>
          </w:tcPr>
          <w:p>
            <w:pPr>
              <w:spacing w:before="40" w:after="40"/>
            </w:pPr>
            <w:r>
              <w:rPr>
                <w:sz w:val="18"/>
              </w:rPr>
              <w:t>XXXX201</w:t>
            </w:r>
          </w:p>
        </w:tc>
      </w:tr>
    </w:tbl>
    <w:p/>
    <w:p>
      <w:pPr>
        <w:pStyle w:val="Heading3"/>
      </w:pPr>
      <w:r>
        <w:t>8.2 Which files to download</w:t>
      </w:r>
    </w:p>
    <w:p>
      <w:r>
        <w:t xml:space="preserve">Log in → </w:t>
      </w:r>
      <w:r>
        <w:rPr>
          <w:b/>
        </w:rPr>
        <w:t>Documents → Account Statements</w:t>
      </w:r>
    </w:p>
    <w:p>
      <w:r>
        <w:t xml:space="preserve">Download </w:t>
      </w:r>
      <w:r>
        <w:rPr>
          <w:b/>
        </w:rPr>
        <w:t>monthly</w:t>
      </w:r>
      <w:r>
        <w:t xml:space="preserve"> statements (not annual recaps). Annual recaps reprint prior-year transfers</w:t>
      </w:r>
    </w:p>
    <w:p>
      <w:r>
        <w:t>with the same IDs — the pipeline's deduplication handles this, but the files are otherwise</w:t>
      </w:r>
    </w:p>
    <w:p>
      <w:r>
        <w:t>informational only.</w:t>
      </w:r>
    </w:p>
    <w:p>
      <w:r>
        <w:t>The September 2023 Morgan Stanley migration creates a "Transfer into Account" entry for all</w:t>
      </w:r>
    </w:p>
    <w:p>
      <w:r>
        <w:t>positions. Suppress this with:</w:t>
      </w:r>
    </w:p>
    <w:p>
      <w:pPr>
        <w:shd w:val="clear" w:color="auto" w:fill="F2F2F2"/>
        <w:spacing w:before="80" w:after="120"/>
        <w:ind w:left="288" w:right="288"/>
      </w:pPr>
      <w:r>
        <w:rPr>
          <w:rFonts w:ascii="Courier New" w:hAnsi="Courier New"/>
          <w:color w:val="242424"/>
          <w:sz w:val="17"/>
        </w:rPr>
        <w:t>etrade_skip_transfers:</w:t>
        <w:br/>
        <w:t xml:space="preserve">  - "2023-09-01"   # migration date</w:t>
      </w:r>
    </w:p>
    <w:p>
      <w:r>
        <w:t xml:space="preserve">Save PDFs to </w:t>
      </w:r>
      <w:r>
        <w:rPr>
          <w:rFonts w:ascii="Courier New" w:hAnsi="Courier New"/>
          <w:color w:val="C02040"/>
          <w:sz w:val="20"/>
        </w:rPr>
        <w:t>users/{person}/data/ETRADE/{year}/</w:t>
      </w:r>
      <w:r>
        <w:t>.</w:t>
      </w:r>
    </w:p>
    <w:p>
      <w:pPr>
        <w:pStyle w:val="Heading3"/>
      </w:pPr>
      <w:r>
        <w:t>8.3 RSU treatment</w:t>
      </w:r>
    </w:p>
    <w:p>
      <w:r>
        <w:t>Only net-issued shares appear in the export ("Transfer into Account" / "Receive"). The shares</w:t>
      </w:r>
    </w:p>
    <w:p>
      <w:r>
        <w:t>withheld for tax are off-statement. Cost basis = Fair Market Value at vesting date (from statement</w:t>
      </w:r>
    </w:p>
    <w:p>
      <w:r>
        <w:t>or yfinance). KeSt = 27.5% × (sale price − FMV).</w:t>
      </w:r>
    </w:p>
    <w:p>
      <w:pPr>
        <w:spacing w:before="40" w:after="40"/>
      </w:pPr>
    </w:p>
    <w:p>
      <w:pPr>
        <w:pStyle w:val="Heading2"/>
      </w:pPr>
      <w:r>
        <w:t>9. Running the Tool</w:t>
      </w:r>
    </w:p>
    <w:p>
      <w:pPr>
        <w:pStyle w:val="Heading3"/>
      </w:pPr>
      <w:r>
        <w:t>9.1 Recommended (auto-discover all files)</w:t>
      </w:r>
    </w:p>
    <w:p>
      <w:pPr>
        <w:shd w:val="clear" w:color="auto" w:fill="F2F2F2"/>
        <w:spacing w:before="80" w:after="120"/>
        <w:ind w:left="288" w:right="288"/>
      </w:pPr>
      <w:r>
        <w:rPr>
          <w:rFonts w:ascii="Courier New" w:hAnsi="Courier New"/>
          <w:color w:val="242424"/>
          <w:sz w:val="17"/>
        </w:rPr>
        <w:t>source .venv/bin/activate</w:t>
        <w:br/>
        <w:br/>
        <w:t># Run for a single person + year — scans users/{person}/data/ automatically</w:t>
        <w:br/>
        <w:t>python main.py --person matthias --year 2025</w:t>
        <w:br/>
        <w:t>python main.py --person jessie   --year 2025</w:t>
        <w:br/>
        <w:br/>
        <w:t># With IBKR auto-fetch (requires secrets.local.yaml)</w:t>
        <w:br/>
        <w:t>python main.py --person matthias --year 2025 --fetch-ibkr</w:t>
        <w:br/>
        <w:br/>
        <w:t># Force re-download of IBKR data</w:t>
        <w:br/>
        <w:t>python main.py --person matthias --year 2025 --force-fetch-ibkr</w:t>
      </w:r>
    </w:p>
    <w:p>
      <w:pPr>
        <w:pStyle w:val="Heading3"/>
      </w:pPr>
      <w:r>
        <w:t>9.2 Explicit input files (advanced)</w:t>
      </w:r>
    </w:p>
    <w:p>
      <w:pPr>
        <w:shd w:val="clear" w:color="auto" w:fill="F2F2F2"/>
        <w:spacing w:before="80" w:after="120"/>
        <w:ind w:left="288" w:right="288"/>
      </w:pPr>
      <w:r>
        <w:rPr>
          <w:rFonts w:ascii="Courier New" w:hAnsi="Courier New"/>
          <w:color w:val="242424"/>
          <w:sz w:val="17"/>
        </w:rPr>
        <w:t>python main.py --person matthias \</w:t>
        <w:br/>
        <w:t xml:space="preserve">  --input users/matthias/data/IB/2025/export.csv \</w:t>
        <w:br/>
        <w:t xml:space="preserve">           users/matthias/data/SAXO/2025/ClosedPositions.xlsx \</w:t>
        <w:br/>
        <w:t xml:space="preserve">  --year 2025</w:t>
      </w:r>
    </w:p>
    <w:p>
      <w:pPr>
        <w:pStyle w:val="Heading3"/>
      </w:pPr>
      <w:r>
        <w:t>9.3 All CLI arguments</w:t>
      </w:r>
    </w:p>
    <w:tbl>
      <w:tblPr>
        <w:tblStyle w:val="TableGrid"/>
        <w:tblW w:type="auto" w:w="0"/>
        <w:tblLook w:firstColumn="1" w:firstRow="1" w:lastColumn="0" w:lastRow="0" w:noHBand="0" w:noVBand="1" w:val="04A0"/>
      </w:tblPr>
      <w:tblGrid>
        <w:gridCol w:w="4680"/>
        <w:gridCol w:w="4680"/>
      </w:tblGrid>
      <w:tr>
        <w:tc>
          <w:tcPr>
            <w:tcW w:type="dxa" w:w="4680"/>
            <w:shd w:val="clear" w:color="auto" w:fill="2E74B5"/>
          </w:tcPr>
          <w:p>
            <w:pPr>
              <w:spacing w:before="60" w:after="60"/>
            </w:pPr>
            <w:r>
              <w:rPr>
                <w:b/>
                <w:color w:val="FFFFFF"/>
                <w:sz w:val="18"/>
              </w:rPr>
              <w:t>Argument</w:t>
            </w:r>
          </w:p>
        </w:tc>
        <w:tc>
          <w:tcPr>
            <w:tcW w:type="dxa" w:w="4680"/>
            <w:shd w:val="clear" w:color="auto" w:fill="2E74B5"/>
          </w:tcPr>
          <w:p>
            <w:pPr>
              <w:spacing w:before="60" w:after="60"/>
            </w:pPr>
            <w:r>
              <w:rPr>
                <w:b/>
                <w:color w:val="FFFFFF"/>
                <w:sz w:val="18"/>
              </w:rPr>
              <w:t>Description</w:t>
            </w:r>
          </w:p>
        </w:tc>
      </w:tr>
      <w:tr>
        <w:tc>
          <w:tcPr>
            <w:tcW w:type="dxa" w:w="4680"/>
          </w:tcPr>
          <w:p>
            <w:pPr>
              <w:spacing w:before="40" w:after="40"/>
            </w:pPr>
            <w:r>
              <w:rPr>
                <w:rFonts w:ascii="Courier New" w:hAnsi="Courier New"/>
                <w:color w:val="C02040"/>
                <w:sz w:val="16"/>
              </w:rPr>
              <w:t>--person LABEL</w:t>
            </w:r>
          </w:p>
        </w:tc>
        <w:tc>
          <w:tcPr>
            <w:tcW w:type="dxa" w:w="4680"/>
          </w:tcPr>
          <w:p>
            <w:pPr>
              <w:spacing w:before="40" w:after="40"/>
            </w:pPr>
            <w:r>
              <w:rPr>
                <w:sz w:val="18"/>
              </w:rPr>
              <w:t xml:space="preserve">Person label. Auto-detected from </w:t>
            </w:r>
            <w:r>
              <w:rPr>
                <w:rFonts w:ascii="Courier New" w:hAnsi="Courier New"/>
                <w:color w:val="C02040"/>
                <w:sz w:val="16"/>
              </w:rPr>
              <w:t>account_id</w:t>
            </w:r>
            <w:r>
              <w:rPr>
                <w:sz w:val="18"/>
              </w:rPr>
              <w:t xml:space="preserve"> in </w:t>
            </w:r>
            <w:r>
              <w:rPr>
                <w:rFonts w:ascii="Courier New" w:hAnsi="Courier New"/>
                <w:color w:val="C02040"/>
                <w:sz w:val="16"/>
              </w:rPr>
              <w:t>config.local.yaml</w:t>
            </w:r>
            <w:r>
              <w:rPr>
                <w:sz w:val="18"/>
              </w:rPr>
              <w:t xml:space="preserve"> if omitted.</w:t>
            </w:r>
          </w:p>
        </w:tc>
      </w:tr>
      <w:tr>
        <w:tc>
          <w:tcPr>
            <w:tcW w:type="dxa" w:w="4680"/>
            <w:shd w:val="clear" w:color="auto" w:fill="EBF3FB"/>
          </w:tcPr>
          <w:p>
            <w:pPr>
              <w:spacing w:before="40" w:after="40"/>
            </w:pPr>
            <w:r>
              <w:rPr>
                <w:rFonts w:ascii="Courier New" w:hAnsi="Courier New"/>
                <w:color w:val="C02040"/>
                <w:sz w:val="16"/>
              </w:rPr>
              <w:t>--year YYYY</w:t>
            </w:r>
          </w:p>
        </w:tc>
        <w:tc>
          <w:tcPr>
            <w:tcW w:type="dxa" w:w="4680"/>
            <w:shd w:val="clear" w:color="auto" w:fill="EBF3FB"/>
          </w:tcPr>
          <w:p>
            <w:pPr>
              <w:spacing w:before="40" w:after="40"/>
            </w:pPr>
            <w:r>
              <w:rPr>
                <w:sz w:val="18"/>
              </w:rPr>
              <w:t>Tax year to calculate. Required.</w:t>
            </w:r>
          </w:p>
        </w:tc>
      </w:tr>
      <w:tr>
        <w:tc>
          <w:tcPr>
            <w:tcW w:type="dxa" w:w="4680"/>
          </w:tcPr>
          <w:p>
            <w:pPr>
              <w:spacing w:before="40" w:after="40"/>
            </w:pPr>
            <w:r>
              <w:rPr>
                <w:rFonts w:ascii="Courier New" w:hAnsi="Courier New"/>
                <w:color w:val="C02040"/>
                <w:sz w:val="16"/>
              </w:rPr>
              <w:t>--input FILE [...]</w:t>
            </w:r>
          </w:p>
        </w:tc>
        <w:tc>
          <w:tcPr>
            <w:tcW w:type="dxa" w:w="4680"/>
          </w:tcPr>
          <w:p>
            <w:pPr>
              <w:spacing w:before="40" w:after="40"/>
            </w:pPr>
            <w:r>
              <w:rPr>
                <w:sz w:val="18"/>
              </w:rPr>
              <w:t xml:space="preserve">Explicit broker export files. Optional: if omitted, scans </w:t>
            </w:r>
            <w:r>
              <w:rPr>
                <w:rFonts w:ascii="Courier New" w:hAnsi="Courier New"/>
                <w:color w:val="C02040"/>
                <w:sz w:val="16"/>
              </w:rPr>
              <w:t>users/{person}/data/</w:t>
            </w:r>
            <w:r>
              <w:rPr>
                <w:sz w:val="18"/>
              </w:rPr>
              <w:t xml:space="preserve"> recursively.</w:t>
            </w:r>
          </w:p>
        </w:tc>
      </w:tr>
      <w:tr>
        <w:tc>
          <w:tcPr>
            <w:tcW w:type="dxa" w:w="4680"/>
            <w:shd w:val="clear" w:color="auto" w:fill="EBF3FB"/>
          </w:tcPr>
          <w:p>
            <w:pPr>
              <w:spacing w:before="40" w:after="40"/>
            </w:pPr>
            <w:r>
              <w:rPr>
                <w:rFonts w:ascii="Courier New" w:hAnsi="Courier New"/>
                <w:color w:val="C02040"/>
                <w:sz w:val="16"/>
              </w:rPr>
              <w:t>--fetch-ibkr</w:t>
            </w:r>
          </w:p>
        </w:tc>
        <w:tc>
          <w:tcPr>
            <w:tcW w:type="dxa" w:w="4680"/>
            <w:shd w:val="clear" w:color="auto" w:fill="EBF3FB"/>
          </w:tcPr>
          <w:p>
            <w:pPr>
              <w:spacing w:before="40" w:after="40"/>
            </w:pPr>
            <w:r>
              <w:rPr>
                <w:sz w:val="18"/>
              </w:rPr>
              <w:t xml:space="preserve">Download IBKR Flex report if no cached file exists. Requires </w:t>
            </w:r>
            <w:r>
              <w:rPr>
                <w:rFonts w:ascii="Courier New" w:hAnsi="Courier New"/>
                <w:color w:val="C02040"/>
                <w:sz w:val="16"/>
              </w:rPr>
              <w:t>secrets.local.yaml</w:t>
            </w:r>
            <w:r>
              <w:rPr>
                <w:sz w:val="18"/>
              </w:rPr>
              <w:t>.</w:t>
            </w:r>
          </w:p>
        </w:tc>
      </w:tr>
      <w:tr>
        <w:tc>
          <w:tcPr>
            <w:tcW w:type="dxa" w:w="4680"/>
          </w:tcPr>
          <w:p>
            <w:pPr>
              <w:spacing w:before="40" w:after="40"/>
            </w:pPr>
            <w:r>
              <w:rPr>
                <w:rFonts w:ascii="Courier New" w:hAnsi="Courier New"/>
                <w:color w:val="C02040"/>
                <w:sz w:val="16"/>
              </w:rPr>
              <w:t>--force-fetch-ibkr</w:t>
            </w:r>
          </w:p>
        </w:tc>
        <w:tc>
          <w:tcPr>
            <w:tcW w:type="dxa" w:w="4680"/>
          </w:tcPr>
          <w:p>
            <w:pPr>
              <w:spacing w:before="40" w:after="40"/>
            </w:pPr>
            <w:r>
              <w:rPr>
                <w:sz w:val="18"/>
              </w:rPr>
              <w:t xml:space="preserve">Always re-download IBKR Flex report, overwriting any cached file. Implies </w:t>
            </w:r>
            <w:r>
              <w:rPr>
                <w:rFonts w:ascii="Courier New" w:hAnsi="Courier New"/>
                <w:color w:val="C02040"/>
                <w:sz w:val="16"/>
              </w:rPr>
              <w:t>--fetch-ibkr</w:t>
            </w:r>
            <w:r>
              <w:rPr>
                <w:sz w:val="18"/>
              </w:rPr>
              <w:t>.</w:t>
            </w:r>
          </w:p>
        </w:tc>
      </w:tr>
      <w:tr>
        <w:tc>
          <w:tcPr>
            <w:tcW w:type="dxa" w:w="4680"/>
            <w:shd w:val="clear" w:color="auto" w:fill="EBF3FB"/>
          </w:tcPr>
          <w:p>
            <w:pPr>
              <w:spacing w:before="40" w:after="40"/>
            </w:pPr>
            <w:r>
              <w:rPr>
                <w:rFonts w:ascii="Courier New" w:hAnsi="Courier New"/>
                <w:color w:val="C02040"/>
                <w:sz w:val="16"/>
              </w:rPr>
              <w:t>--fetch-ibkr-positions</w:t>
            </w:r>
          </w:p>
        </w:tc>
        <w:tc>
          <w:tcPr>
            <w:tcW w:type="dxa" w:w="4680"/>
            <w:shd w:val="clear" w:color="auto" w:fill="EBF3FB"/>
          </w:tcPr>
          <w:p>
            <w:pPr>
              <w:spacing w:before="40" w:after="40"/>
            </w:pPr>
            <w:r>
              <w:rPr>
                <w:sz w:val="18"/>
              </w:rPr>
              <w:t>Download Open Positions report if no cached file exists.</w:t>
            </w:r>
          </w:p>
        </w:tc>
      </w:tr>
      <w:tr>
        <w:tc>
          <w:tcPr>
            <w:tcW w:type="dxa" w:w="4680"/>
          </w:tcPr>
          <w:p>
            <w:pPr>
              <w:spacing w:before="40" w:after="40"/>
            </w:pPr>
            <w:r>
              <w:rPr>
                <w:rFonts w:ascii="Courier New" w:hAnsi="Courier New"/>
                <w:color w:val="C02040"/>
                <w:sz w:val="16"/>
              </w:rPr>
              <w:t>--force-fetch-ibkr-positions</w:t>
            </w:r>
          </w:p>
        </w:tc>
        <w:tc>
          <w:tcPr>
            <w:tcW w:type="dxa" w:w="4680"/>
          </w:tcPr>
          <w:p>
            <w:pPr>
              <w:spacing w:before="40" w:after="40"/>
            </w:pPr>
            <w:r>
              <w:rPr>
                <w:sz w:val="18"/>
              </w:rPr>
              <w:t xml:space="preserve">Always re-download Open Positions report. Implies </w:t>
            </w:r>
            <w:r>
              <w:rPr>
                <w:rFonts w:ascii="Courier New" w:hAnsi="Courier New"/>
                <w:color w:val="C02040"/>
                <w:sz w:val="16"/>
              </w:rPr>
              <w:t>--fetch-ibkr-positions</w:t>
            </w:r>
            <w:r>
              <w:rPr>
                <w:sz w:val="18"/>
              </w:rPr>
              <w:t>.</w:t>
            </w:r>
          </w:p>
        </w:tc>
      </w:tr>
      <w:tr>
        <w:tc>
          <w:tcPr>
            <w:tcW w:type="dxa" w:w="4680"/>
            <w:shd w:val="clear" w:color="auto" w:fill="EBF3FB"/>
          </w:tcPr>
          <w:p>
            <w:pPr>
              <w:spacing w:before="40" w:after="40"/>
            </w:pPr>
            <w:r>
              <w:rPr>
                <w:rFonts w:ascii="Courier New" w:hAnsi="Courier New"/>
                <w:color w:val="C02040"/>
                <w:sz w:val="16"/>
              </w:rPr>
              <w:t>--no-fx-fetch</w:t>
            </w:r>
          </w:p>
        </w:tc>
        <w:tc>
          <w:tcPr>
            <w:tcW w:type="dxa" w:w="4680"/>
            <w:shd w:val="clear" w:color="auto" w:fill="EBF3FB"/>
          </w:tcPr>
          <w:p>
            <w:pPr>
              <w:spacing w:before="40" w:after="40"/>
            </w:pPr>
            <w:r>
              <w:rPr>
                <w:sz w:val="18"/>
              </w:rPr>
              <w:t>Skip live ECB FX fetch. Use only cached rates.</w:t>
            </w:r>
          </w:p>
        </w:tc>
      </w:tr>
    </w:tbl>
    <w:p/>
    <w:p>
      <w:pPr>
        <w:pStyle w:val="Heading3"/>
      </w:pPr>
      <w:r>
        <w:t>9.4 Multi-year FIFO</w:t>
      </w:r>
    </w:p>
    <w:p>
      <w:r>
        <w:t>The tool has no state between runs. For accurate cost basis when sells span multiple years,</w:t>
      </w:r>
    </w:p>
    <w:p>
      <w:r>
        <w:t>the auto-scan mode handles this automatically by picking up all years' files from</w:t>
      </w:r>
    </w:p>
    <w:p>
      <w:r>
        <w:rPr>
          <w:rFonts w:ascii="Courier New" w:hAnsi="Courier New"/>
          <w:color w:val="C02040"/>
          <w:sz w:val="20"/>
        </w:rPr>
        <w:t>users/{person}/data/</w:t>
      </w:r>
      <w:r>
        <w:t xml:space="preserve">. If using explicit </w:t>
      </w:r>
      <w:r>
        <w:rPr>
          <w:rFonts w:ascii="Courier New" w:hAnsi="Courier New"/>
          <w:color w:val="C02040"/>
          <w:sz w:val="20"/>
        </w:rPr>
        <w:t>--input</w:t>
      </w:r>
      <w:r>
        <w:t>, pass all years' files:</w:t>
      </w:r>
    </w:p>
    <w:p>
      <w:pPr>
        <w:shd w:val="clear" w:color="auto" w:fill="F2F2F2"/>
        <w:spacing w:before="80" w:after="120"/>
        <w:ind w:left="288" w:right="288"/>
      </w:pPr>
      <w:r>
        <w:rPr>
          <w:rFonts w:ascii="Courier New" w:hAnsi="Courier New"/>
          <w:color w:val="242424"/>
          <w:sz w:val="17"/>
        </w:rPr>
        <w:t>python main.py --person matthias \</w:t>
        <w:br/>
        <w:t xml:space="preserve">  --input users/matthias/data/IB/2023/export.csv \</w:t>
        <w:br/>
        <w:t xml:space="preserve">           users/matthias/data/IB/2024/export.csv \</w:t>
        <w:br/>
        <w:t xml:space="preserve">           users/matthias/data/IB/2025/export.csv \</w:t>
        <w:br/>
        <w:t xml:space="preserve">  --year 2025</w:t>
      </w:r>
    </w:p>
    <w:p>
      <w:r>
        <w:t xml:space="preserve">The </w:t>
      </w:r>
      <w:r>
        <w:rPr>
          <w:rFonts w:ascii="Courier New" w:hAnsi="Courier New"/>
          <w:color w:val="C02040"/>
          <w:sz w:val="20"/>
        </w:rPr>
        <w:t>--year</w:t>
      </w:r>
      <w:r>
        <w:t xml:space="preserve"> flag controls which year is taxed. All files are parsed for FIFO continuity.</w:t>
      </w:r>
    </w:p>
    <w:p>
      <w:r>
        <w:t>Duplicate transactions across overlapping files are automatically deduplicated.</w:t>
      </w:r>
    </w:p>
    <w:p>
      <w:pPr>
        <w:spacing w:before="40" w:after="40"/>
      </w:pPr>
    </w:p>
    <w:p>
      <w:pPr>
        <w:pStyle w:val="Heading2"/>
      </w:pPr>
      <w:r>
        <w:t>10. Output Files</w:t>
      </w:r>
    </w:p>
    <w:p>
      <w:r>
        <w:t xml:space="preserve">All output files land in </w:t>
      </w:r>
      <w:r>
        <w:rPr>
          <w:rFonts w:ascii="Courier New" w:hAnsi="Courier New"/>
          <w:color w:val="C02040"/>
          <w:sz w:val="20"/>
        </w:rPr>
        <w:t>users/{person}/output/{year}/</w:t>
      </w:r>
      <w:r>
        <w:t>.</w:t>
      </w:r>
    </w:p>
    <w:tbl>
      <w:tblPr>
        <w:tblStyle w:val="TableGrid"/>
        <w:tblW w:type="auto" w:w="0"/>
        <w:tblLook w:firstColumn="1" w:firstRow="1" w:lastColumn="0" w:lastRow="0" w:noHBand="0" w:noVBand="1" w:val="04A0"/>
      </w:tblPr>
      <w:tblGrid>
        <w:gridCol w:w="4680"/>
        <w:gridCol w:w="4680"/>
      </w:tblGrid>
      <w:tr>
        <w:tc>
          <w:tcPr>
            <w:tcW w:type="dxa" w:w="4680"/>
            <w:shd w:val="clear" w:color="auto" w:fill="2E74B5"/>
          </w:tcPr>
          <w:p>
            <w:pPr>
              <w:spacing w:before="60" w:after="60"/>
            </w:pPr>
            <w:r>
              <w:rPr>
                <w:b/>
                <w:color w:val="FFFFFF"/>
                <w:sz w:val="18"/>
              </w:rPr>
              <w:t>File</w:t>
            </w:r>
          </w:p>
        </w:tc>
        <w:tc>
          <w:tcPr>
            <w:tcW w:type="dxa" w:w="4680"/>
            <w:shd w:val="clear" w:color="auto" w:fill="2E74B5"/>
          </w:tcPr>
          <w:p>
            <w:pPr>
              <w:spacing w:before="60" w:after="60"/>
            </w:pPr>
            <w:r>
              <w:rPr>
                <w:b/>
                <w:color w:val="FFFFFF"/>
                <w:sz w:val="18"/>
              </w:rPr>
              <w:t>Description</w:t>
            </w:r>
          </w:p>
        </w:tc>
      </w:tr>
      <w:tr>
        <w:tc>
          <w:tcPr>
            <w:tcW w:type="dxa" w:w="4680"/>
          </w:tcPr>
          <w:p>
            <w:pPr>
              <w:spacing w:before="40" w:after="40"/>
            </w:pPr>
            <w:r>
              <w:rPr>
                <w:rFonts w:ascii="Courier New" w:hAnsi="Courier New"/>
                <w:color w:val="C02040"/>
                <w:sz w:val="16"/>
              </w:rPr>
              <w:t>{person}_{year}_tax_summary.txt</w:t>
            </w:r>
          </w:p>
        </w:tc>
        <w:tc>
          <w:tcPr>
            <w:tcW w:type="dxa" w:w="4680"/>
          </w:tcPr>
          <w:p>
            <w:pPr>
              <w:spacing w:before="40" w:after="40"/>
            </w:pPr>
            <w:r>
              <w:rPr>
                <w:sz w:val="18"/>
              </w:rPr>
              <w:t>E1kv Kennziffern — copy values into FinanzOnline</w:t>
            </w:r>
          </w:p>
        </w:tc>
      </w:tr>
      <w:tr>
        <w:tc>
          <w:tcPr>
            <w:tcW w:type="dxa" w:w="4680"/>
            <w:shd w:val="clear" w:color="auto" w:fill="EBF3FB"/>
          </w:tcPr>
          <w:p>
            <w:pPr>
              <w:spacing w:before="40" w:after="40"/>
            </w:pPr>
            <w:r>
              <w:rPr>
                <w:rFonts w:ascii="Courier New" w:hAnsi="Courier New"/>
                <w:color w:val="C02040"/>
                <w:sz w:val="16"/>
              </w:rPr>
              <w:t>{person}_{year}_transactions.csv</w:t>
            </w:r>
          </w:p>
        </w:tc>
        <w:tc>
          <w:tcPr>
            <w:tcW w:type="dxa" w:w="4680"/>
            <w:shd w:val="clear" w:color="auto" w:fill="EBF3FB"/>
          </w:tcPr>
          <w:p>
            <w:pPr>
              <w:spacing w:before="40" w:after="40"/>
            </w:pPr>
            <w:r>
              <w:rPr>
                <w:sz w:val="18"/>
              </w:rPr>
              <w:t>Full normalized transaction log with all fields</w:t>
            </w:r>
          </w:p>
        </w:tc>
      </w:tr>
      <w:tr>
        <w:tc>
          <w:tcPr>
            <w:tcW w:type="dxa" w:w="4680"/>
          </w:tcPr>
          <w:p>
            <w:pPr>
              <w:spacing w:before="40" w:after="40"/>
            </w:pPr>
            <w:r>
              <w:rPr>
                <w:rFonts w:ascii="Courier New" w:hAnsi="Courier New"/>
                <w:color w:val="C02040"/>
                <w:sz w:val="16"/>
              </w:rPr>
              <w:t>{person}_{year}_dashboard.xlsx</w:t>
            </w:r>
          </w:p>
        </w:tc>
        <w:tc>
          <w:tcPr>
            <w:tcW w:type="dxa" w:w="4680"/>
          </w:tcPr>
          <w:p>
            <w:pPr>
              <w:spacing w:before="40" w:after="40"/>
            </w:pPr>
            <w:r>
              <w:rPr>
                <w:sz w:val="18"/>
              </w:rPr>
              <w:t>Multi-tab Excel workbook (see below)</w:t>
            </w:r>
          </w:p>
        </w:tc>
      </w:tr>
      <w:tr>
        <w:tc>
          <w:tcPr>
            <w:tcW w:type="dxa" w:w="4680"/>
            <w:shd w:val="clear" w:color="auto" w:fill="EBF3FB"/>
          </w:tcPr>
          <w:p>
            <w:pPr>
              <w:spacing w:before="40" w:after="40"/>
            </w:pPr>
            <w:r>
              <w:rPr>
                <w:rFonts w:ascii="Courier New" w:hAnsi="Courier New"/>
                <w:color w:val="C02040"/>
                <w:sz w:val="16"/>
              </w:rPr>
              <w:t>{person}_{year}_freedom.html</w:t>
            </w:r>
          </w:p>
        </w:tc>
        <w:tc>
          <w:tcPr>
            <w:tcW w:type="dxa" w:w="4680"/>
            <w:shd w:val="clear" w:color="auto" w:fill="EBF3FB"/>
          </w:tcPr>
          <w:p>
            <w:pPr>
              <w:spacing w:before="40" w:after="40"/>
            </w:pPr>
            <w:r>
              <w:rPr>
                <w:sz w:val="18"/>
              </w:rPr>
              <w:t>Interactive FIRE dashboard with sliders</w:t>
            </w:r>
          </w:p>
        </w:tc>
      </w:tr>
      <w:tr>
        <w:tc>
          <w:tcPr>
            <w:tcW w:type="dxa" w:w="4680"/>
          </w:tcPr>
          <w:p>
            <w:pPr>
              <w:spacing w:before="40" w:after="40"/>
            </w:pPr>
            <w:r>
              <w:rPr>
                <w:rFonts w:ascii="Courier New" w:hAnsi="Courier New"/>
                <w:color w:val="C02040"/>
                <w:sz w:val="16"/>
              </w:rPr>
              <w:t>{person}_{year}_wht_reclaim.txt</w:t>
            </w:r>
          </w:p>
        </w:tc>
        <w:tc>
          <w:tcPr>
            <w:tcW w:type="dxa" w:w="4680"/>
          </w:tcPr>
          <w:p>
            <w:pPr>
              <w:spacing w:before="40" w:after="40"/>
            </w:pPr>
            <w:r>
              <w:rPr>
                <w:sz w:val="18"/>
              </w:rPr>
              <w:t xml:space="preserve">WHT reclaim report per country (if </w:t>
            </w:r>
            <w:r>
              <w:rPr>
                <w:rFonts w:ascii="Courier New" w:hAnsi="Courier New"/>
                <w:color w:val="C02040"/>
                <w:sz w:val="16"/>
              </w:rPr>
              <w:t>at_residency_start_year</w:t>
            </w:r>
            <w:r>
              <w:rPr>
                <w:sz w:val="18"/>
              </w:rPr>
              <w:t xml:space="preserve"> set)</w:t>
            </w:r>
          </w:p>
        </w:tc>
      </w:tr>
      <w:tr>
        <w:tc>
          <w:tcPr>
            <w:tcW w:type="dxa" w:w="4680"/>
            <w:shd w:val="clear" w:color="auto" w:fill="EBF3FB"/>
          </w:tcPr>
          <w:p>
            <w:pPr>
              <w:spacing w:before="40" w:after="40"/>
            </w:pPr>
            <w:r>
              <w:rPr>
                <w:rFonts w:ascii="Courier New" w:hAnsi="Courier New"/>
                <w:color w:val="C02040"/>
                <w:sz w:val="16"/>
              </w:rPr>
              <w:t>{person}_{year}_anv_checklist.txt</w:t>
            </w:r>
          </w:p>
        </w:tc>
        <w:tc>
          <w:tcPr>
            <w:tcW w:type="dxa" w:w="4680"/>
            <w:shd w:val="clear" w:color="auto" w:fill="EBF3FB"/>
          </w:tcPr>
          <w:p>
            <w:pPr>
              <w:spacing w:before="40" w:after="40"/>
            </w:pPr>
            <w:r>
              <w:rPr>
                <w:sz w:val="18"/>
              </w:rPr>
              <w:t xml:space="preserve">L1 deduction checklist (if </w:t>
            </w:r>
            <w:r>
              <w:rPr>
                <w:rFonts w:ascii="Courier New" w:hAnsi="Courier New"/>
                <w:color w:val="C02040"/>
                <w:sz w:val="16"/>
              </w:rPr>
              <w:t>anv:</w:t>
            </w:r>
            <w:r>
              <w:rPr>
                <w:sz w:val="18"/>
              </w:rPr>
              <w:t xml:space="preserve"> section configured)</w:t>
            </w:r>
          </w:p>
        </w:tc>
      </w:tr>
      <w:tr>
        <w:tc>
          <w:tcPr>
            <w:tcW w:type="dxa" w:w="4680"/>
          </w:tcPr>
          <w:p>
            <w:pPr>
              <w:spacing w:before="40" w:after="40"/>
            </w:pPr>
            <w:r>
              <w:rPr>
                <w:rFonts w:ascii="Courier New" w:hAnsi="Courier New"/>
                <w:color w:val="C02040"/>
                <w:sz w:val="16"/>
              </w:rPr>
              <w:t>{person}_{year}_tax_efficiency.txt</w:t>
            </w:r>
          </w:p>
        </w:tc>
        <w:tc>
          <w:tcPr>
            <w:tcW w:type="dxa" w:w="4680"/>
          </w:tcPr>
          <w:p>
            <w:pPr>
              <w:spacing w:before="40" w:after="40"/>
            </w:pPr>
            <w:r>
              <w:rPr>
                <w:sz w:val="18"/>
              </w:rPr>
              <w:t>NMF embedded P&amp;L + KeSt credit analysis (if NMF positions)</w:t>
            </w:r>
          </w:p>
        </w:tc>
      </w:tr>
      <w:tr>
        <w:tc>
          <w:tcPr>
            <w:tcW w:type="dxa" w:w="4680"/>
            <w:shd w:val="clear" w:color="auto" w:fill="EBF3FB"/>
          </w:tcPr>
          <w:p>
            <w:pPr>
              <w:spacing w:before="40" w:after="40"/>
            </w:pPr>
            <w:r>
              <w:rPr>
                <w:rFonts w:ascii="Courier New" w:hAnsi="Courier New"/>
                <w:color w:val="C02040"/>
                <w:sz w:val="16"/>
              </w:rPr>
              <w:t>{person}_{year}_summary.json</w:t>
            </w:r>
          </w:p>
        </w:tc>
        <w:tc>
          <w:tcPr>
            <w:tcW w:type="dxa" w:w="4680"/>
            <w:shd w:val="clear" w:color="auto" w:fill="EBF3FB"/>
          </w:tcPr>
          <w:p>
            <w:pPr>
              <w:spacing w:before="40" w:after="40"/>
            </w:pPr>
            <w:r>
              <w:rPr>
                <w:sz w:val="18"/>
              </w:rPr>
              <w:t>Machine-readable snapshot; drives multi-year Overview tab</w:t>
            </w:r>
          </w:p>
        </w:tc>
      </w:tr>
    </w:tbl>
    <w:p/>
    <w:p>
      <w:pPr>
        <w:pStyle w:val="Heading3"/>
      </w:pPr>
      <w:r>
        <w:t>Excel dashboard tabs</w:t>
      </w:r>
    </w:p>
    <w:tbl>
      <w:tblPr>
        <w:tblStyle w:val="TableGrid"/>
        <w:tblW w:type="auto" w:w="0"/>
        <w:tblLook w:firstColumn="1" w:firstRow="1" w:lastColumn="0" w:lastRow="0" w:noHBand="0" w:noVBand="1" w:val="04A0"/>
      </w:tblPr>
      <w:tblGrid>
        <w:gridCol w:w="4680"/>
        <w:gridCol w:w="4680"/>
      </w:tblGrid>
      <w:tr>
        <w:tc>
          <w:tcPr>
            <w:tcW w:type="dxa" w:w="4680"/>
            <w:shd w:val="clear" w:color="auto" w:fill="2E74B5"/>
          </w:tcPr>
          <w:p>
            <w:pPr>
              <w:spacing w:before="60" w:after="60"/>
            </w:pPr>
            <w:r>
              <w:rPr>
                <w:b/>
                <w:color w:val="FFFFFF"/>
                <w:sz w:val="18"/>
              </w:rPr>
              <w:t>Tab</w:t>
            </w:r>
          </w:p>
        </w:tc>
        <w:tc>
          <w:tcPr>
            <w:tcW w:type="dxa" w:w="4680"/>
            <w:shd w:val="clear" w:color="auto" w:fill="2E74B5"/>
          </w:tcPr>
          <w:p>
            <w:pPr>
              <w:spacing w:before="60" w:after="60"/>
            </w:pPr>
            <w:r>
              <w:rPr>
                <w:b/>
                <w:color w:val="FFFFFF"/>
                <w:sz w:val="18"/>
              </w:rPr>
              <w:t>Contents</w:t>
            </w:r>
          </w:p>
        </w:tc>
      </w:tr>
      <w:tr>
        <w:tc>
          <w:tcPr>
            <w:tcW w:type="dxa" w:w="4680"/>
          </w:tcPr>
          <w:p>
            <w:pPr>
              <w:spacing w:before="40" w:after="40"/>
            </w:pPr>
            <w:r>
              <w:rPr>
                <w:sz w:val="18"/>
              </w:rPr>
              <w:t>E1kv Summary</w:t>
            </w:r>
          </w:p>
        </w:tc>
        <w:tc>
          <w:tcPr>
            <w:tcW w:type="dxa" w:w="4680"/>
          </w:tcPr>
          <w:p>
            <w:pPr>
              <w:spacing w:before="40" w:after="40"/>
            </w:pPr>
            <w:r>
              <w:rPr>
                <w:sz w:val="18"/>
              </w:rPr>
              <w:t>All Kennziffern with colour coding; cross-sheet formulas to Dividends/Trades</w:t>
            </w:r>
          </w:p>
        </w:tc>
      </w:tr>
      <w:tr>
        <w:tc>
          <w:tcPr>
            <w:tcW w:type="dxa" w:w="4680"/>
            <w:shd w:val="clear" w:color="auto" w:fill="EBF3FB"/>
          </w:tcPr>
          <w:p>
            <w:pPr>
              <w:spacing w:before="40" w:after="40"/>
            </w:pPr>
            <w:r>
              <w:rPr>
                <w:sz w:val="18"/>
              </w:rPr>
              <w:t>Overview</w:t>
            </w:r>
          </w:p>
        </w:tc>
        <w:tc>
          <w:tcPr>
            <w:tcW w:type="dxa" w:w="4680"/>
            <w:shd w:val="clear" w:color="auto" w:fill="EBF3FB"/>
          </w:tcPr>
          <w:p>
            <w:pPr>
              <w:spacing w:before="40" w:after="40"/>
            </w:pPr>
            <w:r>
              <w:rPr>
                <w:sz w:val="18"/>
              </w:rPr>
              <w:t>Multi-year table + charts: dividends/year, KeSt remaining, income sources, transactions, FIRE %, monthly breakdowns</w:t>
            </w:r>
          </w:p>
        </w:tc>
      </w:tr>
      <w:tr>
        <w:tc>
          <w:tcPr>
            <w:tcW w:type="dxa" w:w="4680"/>
          </w:tcPr>
          <w:p>
            <w:pPr>
              <w:spacing w:before="40" w:after="40"/>
            </w:pPr>
            <w:r>
              <w:rPr>
                <w:sz w:val="18"/>
              </w:rPr>
              <w:t>Transactions</w:t>
            </w:r>
          </w:p>
        </w:tc>
        <w:tc>
          <w:tcPr>
            <w:tcW w:type="dxa" w:w="4680"/>
          </w:tcPr>
          <w:p>
            <w:pPr>
              <w:spacing w:before="40" w:after="40"/>
            </w:pPr>
            <w:r>
              <w:rPr>
                <w:sz w:val="18"/>
              </w:rPr>
              <w:t>All transactions for the year</w:t>
            </w:r>
          </w:p>
        </w:tc>
      </w:tr>
      <w:tr>
        <w:tc>
          <w:tcPr>
            <w:tcW w:type="dxa" w:w="4680"/>
            <w:shd w:val="clear" w:color="auto" w:fill="EBF3FB"/>
          </w:tcPr>
          <w:p>
            <w:pPr>
              <w:spacing w:before="40" w:after="40"/>
            </w:pPr>
            <w:r>
              <w:rPr>
                <w:sz w:val="18"/>
              </w:rPr>
              <w:t>Dividends</w:t>
            </w:r>
          </w:p>
        </w:tc>
        <w:tc>
          <w:tcPr>
            <w:tcW w:type="dxa" w:w="4680"/>
            <w:shd w:val="clear" w:color="auto" w:fill="EBF3FB"/>
          </w:tcPr>
          <w:p>
            <w:pPr>
              <w:spacing w:before="40" w:after="40"/>
            </w:pPr>
            <w:r>
              <w:rPr>
                <w:sz w:val="18"/>
              </w:rPr>
              <w:t>Dividend transactions only, with domestic/foreign subtotals</w:t>
            </w:r>
          </w:p>
        </w:tc>
      </w:tr>
      <w:tr>
        <w:tc>
          <w:tcPr>
            <w:tcW w:type="dxa" w:w="4680"/>
          </w:tcPr>
          <w:p>
            <w:pPr>
              <w:spacing w:before="40" w:after="40"/>
            </w:pPr>
            <w:r>
              <w:rPr>
                <w:sz w:val="18"/>
              </w:rPr>
              <w:t>Trades</w:t>
            </w:r>
          </w:p>
        </w:tc>
        <w:tc>
          <w:tcPr>
            <w:tcW w:type="dxa" w:w="4680"/>
          </w:tcPr>
          <w:p>
            <w:pPr>
              <w:spacing w:before="40" w:after="40"/>
            </w:pPr>
            <w:r>
              <w:rPr>
                <w:sz w:val="18"/>
              </w:rPr>
              <w:t>Buy/sell transactions with gain/loss per trade</w:t>
            </w:r>
          </w:p>
        </w:tc>
      </w:tr>
      <w:tr>
        <w:tc>
          <w:tcPr>
            <w:tcW w:type="dxa" w:w="4680"/>
            <w:shd w:val="clear" w:color="auto" w:fill="EBF3FB"/>
          </w:tcPr>
          <w:p>
            <w:pPr>
              <w:spacing w:before="40" w:after="40"/>
            </w:pPr>
            <w:r>
              <w:rPr>
                <w:sz w:val="18"/>
              </w:rPr>
              <w:t>Freedom</w:t>
            </w:r>
          </w:p>
        </w:tc>
        <w:tc>
          <w:tcPr>
            <w:tcW w:type="dxa" w:w="4680"/>
            <w:shd w:val="clear" w:color="auto" w:fill="EBF3FB"/>
          </w:tcPr>
          <w:p>
            <w:pPr>
              <w:spacing w:before="40" w:after="40"/>
            </w:pPr>
            <w:r>
              <w:rPr>
                <w:sz w:val="18"/>
              </w:rPr>
              <w:t>Portfolio holdings table + 10-year FIRE projection</w:t>
            </w:r>
          </w:p>
        </w:tc>
      </w:tr>
      <w:tr>
        <w:tc>
          <w:tcPr>
            <w:tcW w:type="dxa" w:w="4680"/>
          </w:tcPr>
          <w:p>
            <w:pPr>
              <w:spacing w:before="40" w:after="40"/>
            </w:pPr>
            <w:r>
              <w:rPr>
                <w:sz w:val="18"/>
              </w:rPr>
              <w:t>Nichtmeldefonds</w:t>
            </w:r>
          </w:p>
        </w:tc>
        <w:tc>
          <w:tcPr>
            <w:tcW w:type="dxa" w:w="4680"/>
          </w:tcPr>
          <w:p>
            <w:pPr>
              <w:spacing w:before="40" w:after="40"/>
            </w:pPr>
            <w:r>
              <w:rPr>
                <w:sz w:val="18"/>
              </w:rPr>
              <w:t>Per-symbol NMF breakdown (if NMF positions configured)</w:t>
            </w:r>
          </w:p>
        </w:tc>
      </w:tr>
      <w:tr>
        <w:tc>
          <w:tcPr>
            <w:tcW w:type="dxa" w:w="4680"/>
            <w:shd w:val="clear" w:color="auto" w:fill="EBF3FB"/>
          </w:tcPr>
          <w:p>
            <w:pPr>
              <w:spacing w:before="40" w:after="40"/>
            </w:pPr>
            <w:r>
              <w:rPr>
                <w:sz w:val="18"/>
              </w:rPr>
              <w:t>Meldefonds</w:t>
            </w:r>
          </w:p>
        </w:tc>
        <w:tc>
          <w:tcPr>
            <w:tcW w:type="dxa" w:w="4680"/>
            <w:shd w:val="clear" w:color="auto" w:fill="EBF3FB"/>
          </w:tcPr>
          <w:p>
            <w:pPr>
              <w:spacing w:before="40" w:after="40"/>
            </w:pPr>
            <w:r>
              <w:rPr>
                <w:sz w:val="18"/>
              </w:rPr>
              <w:t>Per-fund AE/WA/KeSt breakdown (if Meldefonds configured)</w:t>
            </w:r>
          </w:p>
        </w:tc>
      </w:tr>
    </w:tbl>
    <w:p/>
    <w:p>
      <w:pPr>
        <w:spacing w:before="40" w:after="40"/>
      </w:pPr>
    </w:p>
    <w:p>
      <w:pPr>
        <w:pStyle w:val="Heading2"/>
      </w:pPr>
      <w:r>
        <w:t>11. Nichtmeldefonds (§ 186 InvFG)</w:t>
      </w:r>
    </w:p>
    <w:p>
      <w:r>
        <w:t>US REITs (O, EPR, OHI, WPC, VNQ, ...) and BDCs (ARCC, MAIN, ...) are classified as investment</w:t>
      </w:r>
    </w:p>
    <w:p>
      <w:r>
        <w:t>funds under Austrian law but are not registered with OeKB. Austrian residents must apply the</w:t>
      </w:r>
    </w:p>
    <w:p>
      <w:r>
        <w:t xml:space="preserve">pauschal AE calculation </w:t>
      </w:r>
      <w:r>
        <w:rPr>
          <w:b/>
        </w:rPr>
        <w:t>in addition to</w:t>
      </w:r>
      <w:r>
        <w:t xml:space="preserve"> normal dividend taxation.</w:t>
      </w:r>
    </w:p>
    <w:p>
      <w:r>
        <w:rPr>
          <w:b/>
        </w:rPr>
        <w:t>AE formula</w:t>
      </w:r>
      <w:r>
        <w:t xml:space="preserve">: </w:t>
      </w:r>
      <w:r>
        <w:rPr>
          <w:rFonts w:ascii="Courier New" w:hAnsi="Courier New"/>
          <w:color w:val="C02040"/>
          <w:sz w:val="20"/>
        </w:rPr>
        <w:t>AE = max(90% × annual gain/share, 10% × Dec 31 price/share) × shares × FX</w:t>
      </w:r>
    </w:p>
    <w:p>
      <w:r>
        <w:rPr>
          <w:b/>
        </w:rPr>
        <w:t>KeSt</w:t>
      </w:r>
      <w:r>
        <w:t xml:space="preserve">: </w:t>
      </w:r>
      <w:r>
        <w:rPr>
          <w:rFonts w:ascii="Courier New" w:hAnsi="Courier New"/>
          <w:color w:val="C02040"/>
          <w:sz w:val="20"/>
        </w:rPr>
        <w:t>27.5% × AE</w:t>
      </w:r>
    </w:p>
    <w:p>
      <w:pPr>
        <w:pStyle w:val="Heading3"/>
      </w:pPr>
      <w:r>
        <w:t>Setup</w:t>
      </w:r>
    </w:p>
    <w:p>
      <w:r>
        <w:t xml:space="preserve">Add symbols to </w:t>
      </w:r>
      <w:r>
        <w:rPr>
          <w:rFonts w:ascii="Courier New" w:hAnsi="Courier New"/>
          <w:color w:val="C02040"/>
          <w:sz w:val="20"/>
        </w:rPr>
        <w:t>nichtmeldefonds:</w:t>
      </w:r>
      <w:r>
        <w:t xml:space="preserve"> in your </w:t>
      </w:r>
      <w:r>
        <w:rPr>
          <w:rFonts w:ascii="Courier New" w:hAnsi="Courier New"/>
          <w:color w:val="C02040"/>
          <w:sz w:val="20"/>
        </w:rPr>
        <w:t>config.local.yaml</w:t>
      </w:r>
      <w:r>
        <w:t>:</w:t>
      </w:r>
    </w:p>
    <w:p>
      <w:pPr>
        <w:shd w:val="clear" w:color="auto" w:fill="F2F2F2"/>
        <w:spacing w:before="80" w:after="120"/>
        <w:ind w:left="288" w:right="288"/>
      </w:pPr>
      <w:r>
        <w:rPr>
          <w:rFonts w:ascii="Courier New" w:hAnsi="Courier New"/>
          <w:color w:val="242424"/>
          <w:sz w:val="17"/>
        </w:rPr>
        <w:t>nichtmeldefonds:</w:t>
        <w:br/>
        <w:t xml:space="preserve">  - symbol: O</w:t>
        <w:br/>
        <w:t xml:space="preserve">    isin: US7561091049</w:t>
        <w:br/>
        <w:t xml:space="preserve">    name: Realty Income Corp</w:t>
        <w:br/>
        <w:t xml:space="preserve">    type: REIT</w:t>
        <w:br/>
        <w:t xml:space="preserve">    currency: USD</w:t>
        <w:br/>
        <w:t xml:space="preserve">    shares_held_override:   # required for SAXO positions (qty=1 convention)</w:t>
        <w:br/>
        <w:t xml:space="preserve">      2024: 150</w:t>
        <w:br/>
        <w:t xml:space="preserve">      2025: 150</w:t>
      </w:r>
    </w:p>
    <w:p>
      <w:r>
        <w:t xml:space="preserve">Dec 31 prices are fetched automatically from Yahoo Finance and cached in </w:t>
      </w:r>
      <w:r>
        <w:rPr>
          <w:rFonts w:ascii="Courier New" w:hAnsi="Courier New"/>
          <w:color w:val="C02040"/>
          <w:sz w:val="20"/>
        </w:rPr>
        <w:t>cache/price_cache/</w:t>
      </w:r>
      <w:r>
        <w:t>.</w:t>
      </w:r>
    </w:p>
    <w:p>
      <w:pPr>
        <w:pStyle w:val="Heading3"/>
      </w:pPr>
      <w:r>
        <w:t>AE cost basis step-up</w:t>
      </w:r>
    </w:p>
    <w:p>
      <w:r>
        <w:t>Each prior year's AE is added to the steuerliche Anschaffungskosten (FIFO lot cost_per_unit)</w:t>
      </w:r>
    </w:p>
    <w:p>
      <w:r>
        <w:t>before sell matching. This prevents double-taxation: if you paid KeSt on AE for 3 years, those</w:t>
      </w:r>
    </w:p>
    <w:p>
      <w:r>
        <w:t>amounts are deducted from your taxable gain when you finally sell.</w:t>
      </w:r>
    </w:p>
    <w:p>
      <w:pPr>
        <w:spacing w:before="40" w:after="40"/>
      </w:pPr>
    </w:p>
    <w:p>
      <w:pPr>
        <w:pStyle w:val="Heading2"/>
      </w:pPr>
      <w:r>
        <w:t>12. Meldefonds (OeKB-registered funds)</w:t>
      </w:r>
    </w:p>
    <w:p>
      <w:r>
        <w:t>OeKB-registered accumulating ETFs (VWRL, VWCE, IWDA, ...) report AE/WA data annually. This</w:t>
      </w:r>
    </w:p>
    <w:p>
      <w:r>
        <w:t xml:space="preserve">data is available at </w:t>
      </w:r>
      <w:r>
        <w:rPr>
          <w:color w:val="2E74B5"/>
        </w:rPr>
        <w:t>my.oekb.at</w:t>
      </w:r>
      <w:r>
        <w:t xml:space="preserve"> and must be entered manually into</w:t>
      </w:r>
    </w:p>
    <w:p>
      <w:r>
        <w:rPr>
          <w:rFonts w:ascii="Courier New" w:hAnsi="Courier New"/>
          <w:color w:val="C02040"/>
          <w:sz w:val="20"/>
        </w:rPr>
        <w:t>data/oekb_ae.yaml</w:t>
      </w:r>
      <w:r>
        <w:t>.</w:t>
      </w:r>
    </w:p>
    <w:p>
      <w:pPr>
        <w:pStyle w:val="Heading3"/>
      </w:pPr>
      <w:r>
        <w:t>Setup</w:t>
      </w:r>
    </w:p>
    <w:p>
      <w:pPr>
        <w:pStyle w:val="ListNumber"/>
      </w:pPr>
      <w:r>
        <w:t xml:space="preserve">Add ISINs to </w:t>
      </w:r>
      <w:r>
        <w:rPr>
          <w:rFonts w:ascii="Courier New" w:hAnsi="Courier New"/>
          <w:color w:val="C02040"/>
          <w:sz w:val="20"/>
        </w:rPr>
        <w:t>meldefonds:</w:t>
      </w:r>
      <w:r>
        <w:t xml:space="preserve"> in your </w:t>
      </w:r>
      <w:r>
        <w:rPr>
          <w:rFonts w:ascii="Courier New" w:hAnsi="Courier New"/>
          <w:color w:val="C02040"/>
          <w:sz w:val="20"/>
        </w:rPr>
        <w:t>config.local.yaml</w:t>
      </w:r>
      <w:r>
        <w:t>:</w:t>
      </w:r>
    </w:p>
    <w:p>
      <w:pPr>
        <w:shd w:val="clear" w:color="auto" w:fill="F2F2F2"/>
        <w:spacing w:before="80" w:after="120"/>
        <w:ind w:left="288" w:right="288"/>
      </w:pPr>
      <w:r>
        <w:rPr>
          <w:rFonts w:ascii="Courier New" w:hAnsi="Courier New"/>
          <w:color w:val="242424"/>
          <w:sz w:val="17"/>
        </w:rPr>
        <w:t>meldefonds:</w:t>
        <w:br/>
        <w:t xml:space="preserve">  - isin: IE00B3RBWM25</w:t>
        <w:br/>
        <w:t xml:space="preserve">    symbol: VWRL</w:t>
      </w:r>
    </w:p>
    <w:p>
      <w:pPr>
        <w:pStyle w:val="ListNumber"/>
      </w:pPr>
      <w:r>
        <w:t>Look up the AE/WA values on my.oekb.at for each fund and year</w:t>
      </w:r>
    </w:p>
    <w:p>
      <w:pPr>
        <w:pStyle w:val="ListNumber"/>
      </w:pPr>
      <w:r>
        <w:t xml:space="preserve">Enter them in </w:t>
      </w:r>
      <w:r>
        <w:rPr>
          <w:rFonts w:ascii="Courier New" w:hAnsi="Courier New"/>
          <w:color w:val="C02040"/>
          <w:sz w:val="20"/>
        </w:rPr>
        <w:t>data/oekb_ae.yaml</w:t>
      </w:r>
      <w:r>
        <w:t>:</w:t>
      </w:r>
    </w:p>
    <w:p>
      <w:pPr>
        <w:shd w:val="clear" w:color="auto" w:fill="F2F2F2"/>
        <w:spacing w:before="80" w:after="120"/>
        <w:ind w:left="288" w:right="288"/>
      </w:pPr>
      <w:r>
        <w:rPr>
          <w:rFonts w:ascii="Courier New" w:hAnsi="Courier New"/>
          <w:color w:val="242424"/>
          <w:sz w:val="17"/>
        </w:rPr>
        <w:t>IE00B3RBWM25:  # VWRL</w:t>
        <w:br/>
        <w:t xml:space="preserve">  "2024":</w:t>
        <w:br/>
        <w:t xml:space="preserve">    ae_per_share: 0.8234</w:t>
        <w:br/>
        <w:t xml:space="preserve">    wa_per_share: 0.0000</w:t>
        <w:br/>
        <w:t xml:space="preserve">    meldedatum: "2025-02-14"</w:t>
        <w:br/>
        <w:t xml:space="preserve">    ertragsverwendung: "A"  # A=ausschüttend, T=thesaurierend</w:t>
        <w:br/>
        <w:t xml:space="preserve">    kz: "937"</w:t>
      </w:r>
    </w:p>
    <w:p>
      <w:r>
        <w:t xml:space="preserve">PLACEHOLDER entries in </w:t>
      </w:r>
      <w:r>
        <w:rPr>
          <w:rFonts w:ascii="Courier New" w:hAnsi="Courier New"/>
          <w:color w:val="C02040"/>
          <w:sz w:val="20"/>
        </w:rPr>
        <w:t>oekb_ae.yaml</w:t>
      </w:r>
      <w:r>
        <w:t xml:space="preserve"> produce KeSt = 0. Always verify and fill real values</w:t>
      </w:r>
    </w:p>
    <w:p>
      <w:r>
        <w:t>before filing.</w:t>
      </w:r>
    </w:p>
    <w:p>
      <w:pPr>
        <w:spacing w:before="40" w:after="40"/>
      </w:pPr>
    </w:p>
    <w:p>
      <w:pPr>
        <w:pStyle w:val="Heading2"/>
      </w:pPr>
      <w:r>
        <w:t>13. WHT Reclaim Report</w:t>
      </w:r>
    </w:p>
    <w:p>
      <w:r>
        <w:t>When a foreign country withholds more tax than the Austria DBA treaty allows, the excess can be</w:t>
      </w:r>
    </w:p>
    <w:p>
      <w:r>
        <w:t>reclaimed directly from that country's tax authority.</w:t>
      </w:r>
    </w:p>
    <w:p>
      <w:r>
        <w:rPr>
          <w:b/>
        </w:rPr>
        <w:t>Enable by setting</w:t>
      </w:r>
      <w:r>
        <w:t xml:space="preserve"> </w:t>
      </w:r>
      <w:r>
        <w:rPr>
          <w:rFonts w:ascii="Courier New" w:hAnsi="Courier New"/>
          <w:color w:val="C02040"/>
          <w:sz w:val="20"/>
        </w:rPr>
        <w:t>at_residency_start_year</w:t>
      </w:r>
      <w:r>
        <w:t xml:space="preserve"> in your </w:t>
      </w:r>
      <w:r>
        <w:rPr>
          <w:rFonts w:ascii="Courier New" w:hAnsi="Courier New"/>
          <w:color w:val="C02040"/>
          <w:sz w:val="20"/>
        </w:rPr>
        <w:t>config.local.yaml</w:t>
      </w:r>
      <w:r>
        <w:t>:</w:t>
      </w:r>
    </w:p>
    <w:p>
      <w:pPr>
        <w:shd w:val="clear" w:color="auto" w:fill="F2F2F2"/>
        <w:spacing w:before="80" w:after="120"/>
        <w:ind w:left="288" w:right="288"/>
      </w:pPr>
      <w:r>
        <w:rPr>
          <w:rFonts w:ascii="Courier New" w:hAnsi="Courier New"/>
          <w:color w:val="242424"/>
          <w:sz w:val="17"/>
        </w:rPr>
        <w:t>at_residency_start_year: 2024</w:t>
      </w:r>
    </w:p>
    <w:p>
      <w:r>
        <w:t>The report (</w:t>
      </w:r>
      <w:r>
        <w:rPr>
          <w:rFonts w:ascii="Courier New" w:hAnsi="Courier New"/>
          <w:color w:val="C02040"/>
          <w:sz w:val="20"/>
        </w:rPr>
        <w:t>*_wht_reclaim.txt</w:t>
      </w:r>
      <w:r>
        <w:t>) lists each country with excess WHT, the total reclaimable amount,</w:t>
      </w:r>
    </w:p>
    <w:p>
      <w:r>
        <w:t>the relevant filing authority, and the deadline.</w:t>
      </w:r>
    </w:p>
    <w:p>
      <w:pPr>
        <w:pStyle w:val="Heading3"/>
      </w:pPr>
      <w:r>
        <w:t>Country-specific filing</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2E74B5"/>
          </w:tcPr>
          <w:p>
            <w:pPr>
              <w:spacing w:before="60" w:after="60"/>
            </w:pPr>
            <w:r>
              <w:rPr>
                <w:b/>
                <w:color w:val="FFFFFF"/>
                <w:sz w:val="18"/>
              </w:rPr>
              <w:t>Country</w:t>
            </w:r>
          </w:p>
        </w:tc>
        <w:tc>
          <w:tcPr>
            <w:tcW w:type="dxa" w:w="2340"/>
            <w:shd w:val="clear" w:color="auto" w:fill="2E74B5"/>
          </w:tcPr>
          <w:p>
            <w:pPr>
              <w:spacing w:before="60" w:after="60"/>
            </w:pPr>
            <w:r>
              <w:rPr>
                <w:b/>
                <w:color w:val="FFFFFF"/>
                <w:sz w:val="18"/>
              </w:rPr>
              <w:t>Authority</w:t>
            </w:r>
          </w:p>
        </w:tc>
        <w:tc>
          <w:tcPr>
            <w:tcW w:type="dxa" w:w="2340"/>
            <w:shd w:val="clear" w:color="auto" w:fill="2E74B5"/>
          </w:tcPr>
          <w:p>
            <w:pPr>
              <w:spacing w:before="60" w:after="60"/>
            </w:pPr>
            <w:r>
              <w:rPr>
                <w:b/>
                <w:color w:val="FFFFFF"/>
                <w:sz w:val="18"/>
              </w:rPr>
              <w:t>Form</w:t>
            </w:r>
          </w:p>
        </w:tc>
        <w:tc>
          <w:tcPr>
            <w:tcW w:type="dxa" w:w="2340"/>
            <w:shd w:val="clear" w:color="auto" w:fill="2E74B5"/>
          </w:tcPr>
          <w:p>
            <w:pPr>
              <w:spacing w:before="60" w:after="60"/>
            </w:pPr>
            <w:r>
              <w:rPr>
                <w:b/>
                <w:color w:val="FFFFFF"/>
                <w:sz w:val="18"/>
              </w:rPr>
              <w:t>Deadline</w:t>
            </w:r>
          </w:p>
        </w:tc>
      </w:tr>
      <w:tr>
        <w:tc>
          <w:tcPr>
            <w:tcW w:type="dxa" w:w="2340"/>
          </w:tcPr>
          <w:p>
            <w:pPr>
              <w:spacing w:before="40" w:after="40"/>
            </w:pPr>
            <w:r>
              <w:rPr>
                <w:sz w:val="18"/>
              </w:rPr>
              <w:t>Germany</w:t>
            </w:r>
          </w:p>
        </w:tc>
        <w:tc>
          <w:tcPr>
            <w:tcW w:type="dxa" w:w="2340"/>
          </w:tcPr>
          <w:p>
            <w:pPr>
              <w:spacing w:before="40" w:after="40"/>
            </w:pPr>
            <w:r>
              <w:rPr>
                <w:sz w:val="18"/>
              </w:rPr>
              <w:t>Bundeszentralamt für Steuern (BZSt)</w:t>
            </w:r>
          </w:p>
        </w:tc>
        <w:tc>
          <w:tcPr>
            <w:tcW w:type="dxa" w:w="2340"/>
          </w:tcPr>
          <w:p>
            <w:pPr>
              <w:spacing w:before="40" w:after="40"/>
            </w:pPr>
            <w:r>
              <w:rPr>
                <w:sz w:val="18"/>
              </w:rPr>
              <w:t>BZSt portal online</w:t>
            </w:r>
          </w:p>
        </w:tc>
        <w:tc>
          <w:tcPr>
            <w:tcW w:type="dxa" w:w="2340"/>
          </w:tcPr>
          <w:p>
            <w:pPr>
              <w:spacing w:before="40" w:after="40"/>
            </w:pPr>
            <w:r>
              <w:rPr>
                <w:sz w:val="18"/>
              </w:rPr>
              <w:t>31 Dec + 4 years</w:t>
            </w:r>
          </w:p>
        </w:tc>
      </w:tr>
      <w:tr>
        <w:tc>
          <w:tcPr>
            <w:tcW w:type="dxa" w:w="2340"/>
            <w:shd w:val="clear" w:color="auto" w:fill="EBF3FB"/>
          </w:tcPr>
          <w:p>
            <w:pPr>
              <w:spacing w:before="40" w:after="40"/>
            </w:pPr>
            <w:r>
              <w:rPr>
                <w:sz w:val="18"/>
              </w:rPr>
              <w:t>France</w:t>
            </w:r>
          </w:p>
        </w:tc>
        <w:tc>
          <w:tcPr>
            <w:tcW w:type="dxa" w:w="2340"/>
            <w:shd w:val="clear" w:color="auto" w:fill="EBF3FB"/>
          </w:tcPr>
          <w:p>
            <w:pPr>
              <w:spacing w:before="40" w:after="40"/>
            </w:pPr>
            <w:r>
              <w:rPr>
                <w:sz w:val="18"/>
              </w:rPr>
              <w:t>Direction Générale des Finances Publiques</w:t>
            </w:r>
          </w:p>
        </w:tc>
        <w:tc>
          <w:tcPr>
            <w:tcW w:type="dxa" w:w="2340"/>
            <w:shd w:val="clear" w:color="auto" w:fill="EBF3FB"/>
          </w:tcPr>
          <w:p>
            <w:pPr>
              <w:spacing w:before="40" w:after="40"/>
            </w:pPr>
            <w:r>
              <w:rPr>
                <w:sz w:val="18"/>
              </w:rPr>
              <w:t>Cerfa n°12816 (Formulaire 5000+5001)</w:t>
            </w:r>
          </w:p>
        </w:tc>
        <w:tc>
          <w:tcPr>
            <w:tcW w:type="dxa" w:w="2340"/>
            <w:shd w:val="clear" w:color="auto" w:fill="EBF3FB"/>
          </w:tcPr>
          <w:p>
            <w:pPr>
              <w:spacing w:before="40" w:after="40"/>
            </w:pPr>
            <w:r>
              <w:rPr>
                <w:sz w:val="18"/>
              </w:rPr>
              <w:t>31 Dec + 2 years</w:t>
            </w:r>
          </w:p>
        </w:tc>
      </w:tr>
      <w:tr>
        <w:tc>
          <w:tcPr>
            <w:tcW w:type="dxa" w:w="2340"/>
          </w:tcPr>
          <w:p>
            <w:pPr>
              <w:spacing w:before="40" w:after="40"/>
            </w:pPr>
            <w:r>
              <w:rPr>
                <w:sz w:val="18"/>
              </w:rPr>
              <w:t>Denmark</w:t>
            </w:r>
          </w:p>
        </w:tc>
        <w:tc>
          <w:tcPr>
            <w:tcW w:type="dxa" w:w="2340"/>
          </w:tcPr>
          <w:p>
            <w:pPr>
              <w:spacing w:before="40" w:after="40"/>
            </w:pPr>
            <w:r>
              <w:rPr>
                <w:sz w:val="18"/>
              </w:rPr>
              <w:t>SKAT</w:t>
            </w:r>
          </w:p>
        </w:tc>
        <w:tc>
          <w:tcPr>
            <w:tcW w:type="dxa" w:w="2340"/>
          </w:tcPr>
          <w:p>
            <w:pPr>
              <w:spacing w:before="40" w:after="40"/>
            </w:pPr>
            <w:r>
              <w:rPr>
                <w:sz w:val="18"/>
              </w:rPr>
              <w:t>SKAT online portal</w:t>
            </w:r>
          </w:p>
        </w:tc>
        <w:tc>
          <w:tcPr>
            <w:tcW w:type="dxa" w:w="2340"/>
          </w:tcPr>
          <w:p>
            <w:pPr>
              <w:spacing w:before="40" w:after="40"/>
            </w:pPr>
            <w:r>
              <w:rPr>
                <w:sz w:val="18"/>
              </w:rPr>
              <w:t>31 Dec + 3 years</w:t>
            </w:r>
          </w:p>
        </w:tc>
      </w:tr>
      <w:tr>
        <w:tc>
          <w:tcPr>
            <w:tcW w:type="dxa" w:w="2340"/>
            <w:shd w:val="clear" w:color="auto" w:fill="EBF3FB"/>
          </w:tcPr>
          <w:p>
            <w:pPr>
              <w:spacing w:before="40" w:after="40"/>
            </w:pPr>
            <w:r>
              <w:rPr>
                <w:sz w:val="18"/>
              </w:rPr>
              <w:t>Netherlands</w:t>
            </w:r>
          </w:p>
        </w:tc>
        <w:tc>
          <w:tcPr>
            <w:tcW w:type="dxa" w:w="2340"/>
            <w:shd w:val="clear" w:color="auto" w:fill="EBF3FB"/>
          </w:tcPr>
          <w:p>
            <w:pPr>
              <w:spacing w:before="40" w:after="40"/>
            </w:pPr>
            <w:r>
              <w:rPr>
                <w:sz w:val="18"/>
              </w:rPr>
              <w:t>Belastingdienst</w:t>
            </w:r>
          </w:p>
        </w:tc>
        <w:tc>
          <w:tcPr>
            <w:tcW w:type="dxa" w:w="2340"/>
            <w:shd w:val="clear" w:color="auto" w:fill="EBF3FB"/>
          </w:tcPr>
          <w:p>
            <w:pPr>
              <w:spacing w:before="40" w:after="40"/>
            </w:pPr>
            <w:r>
              <w:rPr>
                <w:sz w:val="18"/>
              </w:rPr>
              <w:t>IB 96 NL</w:t>
            </w:r>
          </w:p>
        </w:tc>
        <w:tc>
          <w:tcPr>
            <w:tcW w:type="dxa" w:w="2340"/>
            <w:shd w:val="clear" w:color="auto" w:fill="EBF3FB"/>
          </w:tcPr>
          <w:p>
            <w:pPr>
              <w:spacing w:before="40" w:after="40"/>
            </w:pPr>
            <w:r>
              <w:rPr>
                <w:sz w:val="18"/>
              </w:rPr>
              <w:t>31 Dec + 3 years</w:t>
            </w:r>
          </w:p>
        </w:tc>
      </w:tr>
    </w:tbl>
    <w:p/>
    <w:p>
      <w:r>
        <w:t xml:space="preserve">An </w:t>
      </w:r>
      <w:r>
        <w:rPr>
          <w:b/>
        </w:rPr>
        <w:t>Ansässigkeitsbescheinigung</w:t>
      </w:r>
      <w:r>
        <w:t xml:space="preserve"> (ZS-AD, confirming AT tax residency) from your Austrian</w:t>
      </w:r>
    </w:p>
    <w:p>
      <w:r>
        <w:t>Finanzamt is required for most reclaim filings. Request it from your local Finanzamt.</w:t>
      </w:r>
    </w:p>
    <w:p>
      <w:pPr>
        <w:spacing w:before="40" w:after="40"/>
      </w:pPr>
    </w:p>
    <w:p>
      <w:pPr>
        <w:pStyle w:val="Heading2"/>
      </w:pPr>
      <w:r>
        <w:t>14. ANV Deduction Checklist</w:t>
      </w:r>
    </w:p>
    <w:p>
      <w:r>
        <w:t>The ANV checklist (</w:t>
      </w:r>
      <w:r>
        <w:rPr>
          <w:rFonts w:ascii="Courier New" w:hAnsi="Courier New"/>
          <w:color w:val="C02040"/>
          <w:sz w:val="20"/>
        </w:rPr>
        <w:t>*_anv_checklist.txt</w:t>
      </w:r>
      <w:r>
        <w:t>) lists claimable L1 deductions for the</w:t>
      </w:r>
    </w:p>
    <w:p>
      <w:r>
        <w:t>Arbeitnehmerveranlagung based on your config.</w:t>
      </w:r>
    </w:p>
    <w:p>
      <w:r>
        <w:rPr>
          <w:b/>
        </w:rPr>
        <w:t>Enable by adding</w:t>
      </w:r>
      <w:r>
        <w:t xml:space="preserve"> </w:t>
      </w:r>
      <w:r>
        <w:rPr>
          <w:rFonts w:ascii="Courier New" w:hAnsi="Courier New"/>
          <w:color w:val="C02040"/>
          <w:sz w:val="20"/>
        </w:rPr>
        <w:t>anv:</w:t>
      </w:r>
      <w:r>
        <w:t xml:space="preserve"> to your </w:t>
      </w:r>
      <w:r>
        <w:rPr>
          <w:rFonts w:ascii="Courier New" w:hAnsi="Courier New"/>
          <w:color w:val="C02040"/>
          <w:sz w:val="20"/>
        </w:rPr>
        <w:t>config.local.yaml</w:t>
      </w:r>
      <w:r>
        <w:t>:</w:t>
      </w:r>
    </w:p>
    <w:p>
      <w:pPr>
        <w:shd w:val="clear" w:color="auto" w:fill="F2F2F2"/>
        <w:spacing w:before="80" w:after="120"/>
        <w:ind w:left="288" w:right="288"/>
      </w:pPr>
      <w:r>
        <w:rPr>
          <w:rFonts w:ascii="Courier New" w:hAnsi="Courier New"/>
          <w:color w:val="242424"/>
          <w:sz w:val="17"/>
        </w:rPr>
        <w:t>anv:</w:t>
        <w:br/>
        <w:t xml:space="preserve">  home_office_days: 45</w:t>
        <w:br/>
        <w:t xml:space="preserve">  commute_km: 10</w:t>
        <w:br/>
        <w:t xml:space="preserve">  commute_type: public          # public | car</w:t>
        <w:br/>
        <w:t xml:space="preserve">  kirchenbeitrag_eur: 0</w:t>
        <w:br/>
        <w:t xml:space="preserve">  steuerberatung_eur: 350</w:t>
        <w:br/>
        <w:t xml:space="preserve">  income_eur: 30000</w:t>
      </w:r>
    </w:p>
    <w:p>
      <w:pPr>
        <w:spacing w:before="40" w:after="40"/>
      </w:pPr>
    </w:p>
    <w:p>
      <w:pPr>
        <w:pStyle w:val="Heading2"/>
      </w:pPr>
      <w:r>
        <w:t>15. Household Combined View</w:t>
      </w:r>
    </w:p>
    <w:p>
      <w:r>
        <w:t>Generates a side-by-side comparison Excel for two people in the same household.</w:t>
      </w:r>
    </w:p>
    <w:p>
      <w:pPr>
        <w:shd w:val="clear" w:color="auto" w:fill="F2F2F2"/>
        <w:spacing w:before="80" w:after="120"/>
        <w:ind w:left="288" w:right="288"/>
      </w:pPr>
      <w:r>
        <w:rPr>
          <w:rFonts w:ascii="Courier New" w:hAnsi="Courier New"/>
          <w:color w:val="242424"/>
          <w:sz w:val="17"/>
        </w:rPr>
        <w:t>python main.py --household matthias,jessie --year 2025</w:t>
      </w:r>
    </w:p>
    <w:p>
      <w:r>
        <w:rPr>
          <w:b/>
        </w:rPr>
        <w:t>Prerequisites</w:t>
      </w:r>
      <w:r>
        <w:t xml:space="preserve">: Each person's </w:t>
      </w:r>
      <w:r>
        <w:rPr>
          <w:rFonts w:ascii="Courier New" w:hAnsi="Courier New"/>
          <w:color w:val="C02040"/>
          <w:sz w:val="20"/>
        </w:rPr>
        <w:t>summary.json</w:t>
      </w:r>
      <w:r>
        <w:t xml:space="preserve"> for the target year must exist (run the</w:t>
      </w:r>
    </w:p>
    <w:p>
      <w:r>
        <w:t>individual pipelines first). The tool warns if any person's summary is &gt;7 days old.</w:t>
      </w:r>
    </w:p>
    <w:p>
      <w:r>
        <w:rPr>
          <w:b/>
        </w:rPr>
        <w:t>Output</w:t>
      </w:r>
      <w:r>
        <w:t xml:space="preserve">: </w:t>
      </w:r>
      <w:r>
        <w:rPr>
          <w:rFonts w:ascii="Courier New" w:hAnsi="Courier New"/>
          <w:color w:val="C02040"/>
          <w:sz w:val="20"/>
        </w:rPr>
        <w:t>users/household/output/{year}/household_{year}_{persons}.xlsx</w:t>
      </w:r>
    </w:p>
    <w:p>
      <w:r>
        <w:t>The workbook shows side-by-side columns (person A | person B | Combined) for:</w:t>
      </w:r>
    </w:p>
    <w:p>
      <w:r>
        <w:t>KZ 863, interest, gains/losses, net taxable, KeSt, WHT, KeSt Remaining, portfolio, yield.</w:t>
      </w:r>
    </w:p>
    <w:p>
      <w:pPr>
        <w:spacing w:before="40" w:after="40"/>
      </w:pPr>
    </w:p>
    <w:p>
      <w:pPr>
        <w:pStyle w:val="Heading2"/>
      </w:pPr>
      <w:r>
        <w:t>16. Multi-Year FIFO — The Correct Approach</w:t>
      </w:r>
    </w:p>
    <w:p>
      <w:r>
        <w:t xml:space="preserve">The tool has </w:t>
      </w:r>
      <w:r>
        <w:rPr>
          <w:b/>
        </w:rPr>
        <w:t>no state between runs</w:t>
      </w:r>
      <w:r>
        <w:t>. The FIFO queue is built fresh each run from all input</w:t>
      </w:r>
    </w:p>
    <w:p>
      <w:r>
        <w:t>files. If you sell securities purchased in a prior year, that year's data must be included.</w:t>
      </w:r>
    </w:p>
    <w:p>
      <w:r>
        <w:rPr>
          <w:b/>
        </w:rPr>
        <w:t>With auto-scan (recommended)</w:t>
      </w:r>
      <w:r>
        <w:t xml:space="preserve">: the tool picks up all years' files from </w:t>
      </w:r>
      <w:r>
        <w:rPr>
          <w:rFonts w:ascii="Courier New" w:hAnsi="Courier New"/>
          <w:color w:val="C02040"/>
          <w:sz w:val="20"/>
        </w:rPr>
        <w:t>users/{person}/data/</w:t>
      </w:r>
    </w:p>
    <w:p>
      <w:r>
        <w:t>recursively. As long as all broker exports are stored there, multi-year FIFO works automatically.</w:t>
      </w:r>
    </w:p>
    <w:p>
      <w:r>
        <w:rPr>
          <w:b/>
        </w:rPr>
        <w:t>With explicit `--input`</w:t>
      </w:r>
      <w:r>
        <w:t xml:space="preserve">: pass all years' files. The </w:t>
      </w:r>
      <w:r>
        <w:rPr>
          <w:rFonts w:ascii="Courier New" w:hAnsi="Courier New"/>
          <w:color w:val="C02040"/>
          <w:sz w:val="20"/>
        </w:rPr>
        <w:t>--year</w:t>
      </w:r>
      <w:r>
        <w:t xml:space="preserve"> flag controls which year's gains</w:t>
      </w:r>
    </w:p>
    <w:p>
      <w:r>
        <w:t>are taxed; all other years provide cost basis only.</w:t>
      </w:r>
    </w:p>
    <w:p>
      <w:r>
        <w:t>Files can overlap in date range — duplicate transactions are automatically deduplicated by</w:t>
      </w:r>
    </w:p>
    <w:p>
      <w:r>
        <w:rPr>
          <w:rFonts w:ascii="Courier New" w:hAnsi="Courier New"/>
          <w:color w:val="C02040"/>
          <w:sz w:val="20"/>
        </w:rPr>
        <w:t>raw_id</w:t>
      </w:r>
      <w:r>
        <w:t xml:space="preserve"> (a deterministic hash of the transaction content).</w:t>
      </w:r>
    </w:p>
    <w:p>
      <w:pPr>
        <w:spacing w:before="40" w:after="40"/>
      </w:pPr>
    </w:p>
    <w:p>
      <w:pPr>
        <w:pStyle w:val="Heading2"/>
      </w:pPr>
      <w:r>
        <w:t>17. How the Tax Engine Works</w:t>
      </w:r>
    </w:p>
    <w:p>
      <w:pPr>
        <w:pStyle w:val="Heading3"/>
      </w:pPr>
      <w:r>
        <w:t>FX conversion</w:t>
      </w:r>
    </w:p>
    <w:p>
      <w:r>
        <w:t>All amounts are converted to EUR using the ECB reference rate on the trade date. Rates are</w:t>
      </w:r>
    </w:p>
    <w:p>
      <w:r>
        <w:t xml:space="preserve">downloaded once per currency per year (full-year block) and cached in </w:t>
      </w:r>
      <w:r>
        <w:rPr>
          <w:rFonts w:ascii="Courier New" w:hAnsi="Courier New"/>
          <w:color w:val="C02040"/>
          <w:sz w:val="20"/>
        </w:rPr>
        <w:t>cache/fx_cache/</w:t>
      </w:r>
      <w:r>
        <w:t>. The</w:t>
      </w:r>
    </w:p>
    <w:p>
      <w:r>
        <w:t>current year's cache is refreshed if &gt;1 day old (ECB publishes daily). If no rate exists for a</w:t>
      </w:r>
    </w:p>
    <w:p>
      <w:r>
        <w:t>specific date (weekend/holiday), the tool looks back up to 5 calendar days.</w:t>
      </w:r>
    </w:p>
    <w:p>
      <w:pPr>
        <w:pStyle w:val="Heading3"/>
      </w:pPr>
      <w:r>
        <w:t>FIFO cost basis (§ 27 EStG)</w:t>
      </w:r>
    </w:p>
    <w:p>
      <w:r>
        <w:t>Sells are matched against the oldest open buy lots first. Cost basis = purchase price +</w:t>
      </w:r>
    </w:p>
    <w:p>
      <w:r>
        <w:t>commission, both at the purchase-date FX rate. Gain = EUR proceeds − EUR cost basis − EUR sell</w:t>
      </w:r>
    </w:p>
    <w:p>
      <w:r>
        <w:t>commission.</w:t>
      </w:r>
    </w:p>
    <w:p>
      <w:r>
        <w:rPr>
          <w:b/>
        </w:rPr>
        <w:t>Cross-check</w:t>
      </w:r>
      <w:r>
        <w:t xml:space="preserve">: if a FIFO-sourced gross gain/loss deviates from IBKR's own </w:t>
      </w:r>
      <w:r>
        <w:rPr>
          <w:rFonts w:ascii="Courier New" w:hAnsi="Courier New"/>
          <w:color w:val="C02040"/>
          <w:sz w:val="20"/>
        </w:rPr>
        <w:t>FifoPnlRealized</w:t>
      </w:r>
    </w:p>
    <w:p>
      <w:r>
        <w:t>field by &gt;€1.00, a warning is printed.</w:t>
      </w:r>
    </w:p>
    <w:p>
      <w:r>
        <w:rPr>
          <w:b/>
        </w:rPr>
        <w:t>ISIN auto-alias</w:t>
      </w:r>
      <w:r>
        <w:t>: if a sell has no matching lots under its symbol but another symbol shares</w:t>
      </w:r>
    </w:p>
    <w:p>
      <w:r>
        <w:t>the same ISIN with sufficient quantity, the engine silently aliases them. Handles plain ticker</w:t>
      </w:r>
    </w:p>
    <w:p>
      <w:r>
        <w:t>renames (VER→OEWA, NOV→NOVd, etc.). For corporate actions where ISIN changes (mergers, tenders),</w:t>
      </w:r>
    </w:p>
    <w:p>
      <w:r>
        <w:t xml:space="preserve">use </w:t>
      </w:r>
      <w:r>
        <w:rPr>
          <w:rFonts w:ascii="Courier New" w:hAnsi="Courier New"/>
          <w:color w:val="C02040"/>
          <w:sz w:val="20"/>
        </w:rPr>
        <w:t>symbol_aliases:</w:t>
      </w:r>
      <w:r>
        <w:t xml:space="preserve"> in config.</w:t>
      </w:r>
    </w:p>
    <w:p>
      <w:pPr>
        <w:pStyle w:val="Heading3"/>
      </w:pPr>
      <w:r>
        <w:t>WHT crediting (§ 27a EStG)</w:t>
      </w:r>
    </w:p>
    <w:p>
      <w:pPr>
        <w:shd w:val="clear" w:color="auto" w:fill="F2F2F2"/>
        <w:spacing w:before="80" w:after="120"/>
        <w:ind w:left="288" w:right="288"/>
      </w:pPr>
      <w:r>
        <w:rPr>
          <w:rFonts w:ascii="Courier New" w:hAnsi="Courier New"/>
          <w:color w:val="242424"/>
          <w:sz w:val="17"/>
        </w:rPr>
        <w:t>creditable_WHT = min(actual_WHT_paid, treaty_rate × gross_dividend)</w:t>
        <w:br/>
        <w:t>KeSt_remaining = KeSt_due (27.5%) − creditable_WHT</w:t>
      </w:r>
    </w:p>
    <w:p>
      <w:r>
        <w:t>Excess WHT (actual &gt; treaty rate) is not creditable in Austria; it must be reclaimed from the</w:t>
      </w:r>
    </w:p>
    <w:p>
      <w:r>
        <w:t>source country (see Section 13).</w:t>
      </w:r>
    </w:p>
    <w:p>
      <w:pPr>
        <w:pStyle w:val="Heading3"/>
      </w:pPr>
      <w:r>
        <w:t>What is NOT automatically calculated</w:t>
      </w:r>
    </w:p>
    <w:p>
      <w:pPr>
        <w:pStyle w:val="ListBullet"/>
      </w:pPr>
      <w:r>
        <w:rPr>
          <w:b/>
        </w:rPr>
        <w:t>Manual KZ 937 entries</w:t>
      </w:r>
      <w:r>
        <w:t xml:space="preserve">: Meldefonds not in </w:t>
      </w:r>
      <w:r>
        <w:rPr>
          <w:rFonts w:ascii="Courier New" w:hAnsi="Courier New"/>
          <w:color w:val="C02040"/>
          <w:sz w:val="20"/>
        </w:rPr>
        <w:t>data/oekb_ae.yaml</w:t>
      </w:r>
      <w:r>
        <w:t xml:space="preserve"> produce zero. Verify each</w:t>
      </w:r>
    </w:p>
    <w:p>
      <w:r>
        <w:t xml:space="preserve">  AE/WA figure on my.oekb.at before filing.</w:t>
      </w:r>
    </w:p>
    <w:p>
      <w:pPr>
        <w:pStyle w:val="ListBullet"/>
      </w:pPr>
      <w:r>
        <w:rPr>
          <w:b/>
        </w:rPr>
        <w:t>Corporate actions</w:t>
      </w:r>
      <w:r>
        <w:t>: splits, mergers, spin-offs affecting cost basis require manual config</w:t>
      </w:r>
    </w:p>
    <w:p>
      <w:r>
        <w:t xml:space="preserve">  entries (</w:t>
      </w:r>
      <w:r>
        <w:rPr>
          <w:rFonts w:ascii="Courier New" w:hAnsi="Courier New"/>
          <w:color w:val="C02040"/>
          <w:sz w:val="20"/>
        </w:rPr>
        <w:t>manual_cost_basis</w:t>
      </w:r>
      <w:r>
        <w:t xml:space="preserve">, </w:t>
      </w:r>
      <w:r>
        <w:rPr>
          <w:rFonts w:ascii="Courier New" w:hAnsi="Courier New"/>
          <w:color w:val="C02040"/>
          <w:sz w:val="20"/>
        </w:rPr>
        <w:t>symbol_aliases</w:t>
      </w:r>
      <w:r>
        <w:t>).</w:t>
      </w:r>
    </w:p>
    <w:p>
      <w:pPr>
        <w:pStyle w:val="ListBullet"/>
      </w:pPr>
      <w:r>
        <w:rPr>
          <w:b/>
        </w:rPr>
        <w:t>Prior-year loss carryforward</w:t>
      </w:r>
      <w:r>
        <w:t>: the tool calculates current-year net only.</w:t>
      </w:r>
    </w:p>
    <w:p>
      <w:pPr>
        <w:spacing w:before="40" w:after="40"/>
      </w:pPr>
    </w:p>
    <w:p>
      <w:pPr>
        <w:pStyle w:val="Heading2"/>
      </w:pPr>
      <w:r>
        <w:t>18. Troubleshooting</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2E74B5"/>
          </w:tcPr>
          <w:p>
            <w:pPr>
              <w:spacing w:before="60" w:after="60"/>
            </w:pPr>
            <w:r>
              <w:rPr>
                <w:b/>
                <w:color w:val="FFFFFF"/>
                <w:sz w:val="18"/>
              </w:rPr>
              <w:t>Symptom</w:t>
            </w:r>
          </w:p>
        </w:tc>
        <w:tc>
          <w:tcPr>
            <w:tcW w:type="dxa" w:w="3120"/>
            <w:shd w:val="clear" w:color="auto" w:fill="2E74B5"/>
          </w:tcPr>
          <w:p>
            <w:pPr>
              <w:spacing w:before="60" w:after="60"/>
            </w:pPr>
            <w:r>
              <w:rPr>
                <w:b/>
                <w:color w:val="FFFFFF"/>
                <w:sz w:val="18"/>
              </w:rPr>
              <w:t>Likely cause</w:t>
            </w:r>
          </w:p>
        </w:tc>
        <w:tc>
          <w:tcPr>
            <w:tcW w:type="dxa" w:w="3120"/>
            <w:shd w:val="clear" w:color="auto" w:fill="2E74B5"/>
          </w:tcPr>
          <w:p>
            <w:pPr>
              <w:spacing w:before="60" w:after="60"/>
            </w:pPr>
            <w:r>
              <w:rPr>
                <w:b/>
                <w:color w:val="FFFFFF"/>
                <w:sz w:val="18"/>
              </w:rPr>
              <w:t>Fix</w:t>
            </w:r>
          </w:p>
        </w:tc>
      </w:tr>
      <w:tr>
        <w:tc>
          <w:tcPr>
            <w:tcW w:type="dxa" w:w="3120"/>
          </w:tcPr>
          <w:p>
            <w:pPr>
              <w:spacing w:before="40" w:after="40"/>
            </w:pPr>
            <w:r>
              <w:rPr>
                <w:sz w:val="18"/>
              </w:rPr>
              <w:t>No transactions loaded</w:t>
            </w:r>
          </w:p>
        </w:tc>
        <w:tc>
          <w:tcPr>
            <w:tcW w:type="dxa" w:w="3120"/>
          </w:tcPr>
          <w:p>
            <w:pPr>
              <w:spacing w:before="40" w:after="40"/>
            </w:pPr>
            <w:r>
              <w:rPr>
                <w:sz w:val="18"/>
              </w:rPr>
              <w:t>Flex Query missing Trades/CashTransactions sections</w:t>
            </w:r>
          </w:p>
        </w:tc>
        <w:tc>
          <w:tcPr>
            <w:tcW w:type="dxa" w:w="3120"/>
          </w:tcPr>
          <w:p>
            <w:pPr>
              <w:spacing w:before="40" w:after="40"/>
            </w:pPr>
            <w:r>
              <w:rPr>
                <w:sz w:val="18"/>
              </w:rPr>
              <w:t>Re-export with both sections; verify CSV starts with BOF + HEADER/DATA rows</w:t>
            </w:r>
          </w:p>
        </w:tc>
      </w:tr>
      <w:tr>
        <w:tc>
          <w:tcPr>
            <w:tcW w:type="dxa" w:w="3120"/>
            <w:shd w:val="clear" w:color="auto" w:fill="EBF3FB"/>
          </w:tcPr>
          <w:p>
            <w:pPr>
              <w:spacing w:before="40" w:after="40"/>
            </w:pPr>
            <w:r>
              <w:rPr>
                <w:rFonts w:ascii="Courier New" w:hAnsi="Courier New"/>
                <w:color w:val="C02040"/>
                <w:sz w:val="16"/>
              </w:rPr>
              <w:t>FX: No rate found for X around YYYY-MM-DD</w:t>
            </w:r>
            <w:r>
              <w:rPr>
                <w:sz w:val="18"/>
              </w:rPr>
              <w:t xml:space="preserve"> (&gt;5 days)</w:t>
            </w:r>
          </w:p>
        </w:tc>
        <w:tc>
          <w:tcPr>
            <w:tcW w:type="dxa" w:w="3120"/>
            <w:shd w:val="clear" w:color="auto" w:fill="EBF3FB"/>
          </w:tcPr>
          <w:p>
            <w:pPr>
              <w:spacing w:before="40" w:after="40"/>
            </w:pPr>
            <w:r>
              <w:rPr>
                <w:sz w:val="18"/>
              </w:rPr>
              <w:t>Stale current-year FX cache</w:t>
            </w:r>
          </w:p>
        </w:tc>
        <w:tc>
          <w:tcPr>
            <w:tcW w:type="dxa" w:w="3120"/>
            <w:shd w:val="clear" w:color="auto" w:fill="EBF3FB"/>
          </w:tcPr>
          <w:p>
            <w:pPr>
              <w:spacing w:before="40" w:after="40"/>
            </w:pPr>
            <w:r>
              <w:rPr>
                <w:sz w:val="18"/>
              </w:rPr>
              <w:t xml:space="preserve">Delete </w:t>
            </w:r>
            <w:r>
              <w:rPr>
                <w:rFonts w:ascii="Courier New" w:hAnsi="Courier New"/>
                <w:color w:val="C02040"/>
                <w:sz w:val="16"/>
              </w:rPr>
              <w:t>cache/fx_cache/{CCY}_{YEAR}.json</w:t>
            </w:r>
            <w:r>
              <w:rPr>
                <w:sz w:val="18"/>
              </w:rPr>
              <w:t>; tool re-fetches automatically on next run</w:t>
            </w:r>
          </w:p>
        </w:tc>
      </w:tr>
      <w:tr>
        <w:tc>
          <w:tcPr>
            <w:tcW w:type="dxa" w:w="3120"/>
          </w:tcPr>
          <w:p>
            <w:pPr>
              <w:spacing w:before="40" w:after="40"/>
            </w:pPr>
            <w:r>
              <w:rPr>
                <w:sz w:val="18"/>
              </w:rPr>
              <w:t>28 transactions FX=0</w:t>
            </w:r>
          </w:p>
        </w:tc>
        <w:tc>
          <w:tcPr>
            <w:tcW w:type="dxa" w:w="3120"/>
          </w:tcPr>
          <w:p>
            <w:pPr>
              <w:spacing w:before="40" w:after="40"/>
            </w:pPr>
            <w:r>
              <w:rPr>
                <w:sz w:val="18"/>
              </w:rPr>
              <w:t>Current-year FX cache created before those dates</w:t>
            </w:r>
          </w:p>
        </w:tc>
        <w:tc>
          <w:tcPr>
            <w:tcW w:type="dxa" w:w="3120"/>
          </w:tcPr>
          <w:p>
            <w:pPr>
              <w:spacing w:before="40" w:after="40"/>
            </w:pPr>
            <w:r>
              <w:rPr>
                <w:sz w:val="18"/>
              </w:rPr>
              <w:t>Same as above — delete the stale file</w:t>
            </w:r>
          </w:p>
        </w:tc>
      </w:tr>
      <w:tr>
        <w:tc>
          <w:tcPr>
            <w:tcW w:type="dxa" w:w="3120"/>
            <w:shd w:val="clear" w:color="auto" w:fill="EBF3FB"/>
          </w:tcPr>
          <w:p>
            <w:pPr>
              <w:spacing w:before="40" w:after="40"/>
            </w:pPr>
            <w:r>
              <w:rPr>
                <w:sz w:val="18"/>
              </w:rPr>
              <w:t>Overview tab shows only current year</w:t>
            </w:r>
          </w:p>
        </w:tc>
        <w:tc>
          <w:tcPr>
            <w:tcW w:type="dxa" w:w="3120"/>
            <w:shd w:val="clear" w:color="auto" w:fill="EBF3FB"/>
          </w:tcPr>
          <w:p>
            <w:pPr>
              <w:spacing w:before="40" w:after="40"/>
            </w:pPr>
            <w:r>
              <w:rPr>
                <w:sz w:val="18"/>
              </w:rPr>
              <w:t xml:space="preserve">Prior years' </w:t>
            </w:r>
            <w:r>
              <w:rPr>
                <w:rFonts w:ascii="Courier New" w:hAnsi="Courier New"/>
                <w:color w:val="C02040"/>
                <w:sz w:val="16"/>
              </w:rPr>
              <w:t>summary.json</w:t>
            </w:r>
            <w:r>
              <w:rPr>
                <w:sz w:val="18"/>
              </w:rPr>
              <w:t xml:space="preserve"> missing</w:t>
            </w:r>
          </w:p>
        </w:tc>
        <w:tc>
          <w:tcPr>
            <w:tcW w:type="dxa" w:w="3120"/>
            <w:shd w:val="clear" w:color="auto" w:fill="EBF3FB"/>
          </w:tcPr>
          <w:p>
            <w:pPr>
              <w:spacing w:before="40" w:after="40"/>
            </w:pPr>
            <w:r>
              <w:rPr>
                <w:sz w:val="18"/>
              </w:rPr>
              <w:t xml:space="preserve">Run the tool for each prior year; </w:t>
            </w:r>
            <w:r>
              <w:rPr>
                <w:rFonts w:ascii="Courier New" w:hAnsi="Courier New"/>
                <w:color w:val="C02040"/>
                <w:sz w:val="16"/>
              </w:rPr>
              <w:t>summary.json</w:t>
            </w:r>
            <w:r>
              <w:rPr>
                <w:sz w:val="18"/>
              </w:rPr>
              <w:t xml:space="preserve"> is created automatically</w:t>
            </w:r>
          </w:p>
        </w:tc>
      </w:tr>
      <w:tr>
        <w:tc>
          <w:tcPr>
            <w:tcW w:type="dxa" w:w="3120"/>
          </w:tcPr>
          <w:p>
            <w:pPr>
              <w:spacing w:before="40" w:after="40"/>
            </w:pPr>
            <w:r>
              <w:rPr>
                <w:sz w:val="18"/>
              </w:rPr>
              <w:t>IBKR Error 1001 (</w:t>
            </w:r>
            <w:r>
              <w:rPr>
                <w:rFonts w:ascii="Courier New" w:hAnsi="Courier New"/>
                <w:color w:val="C02040"/>
                <w:sz w:val="16"/>
              </w:rPr>
              <w:t>--fetch-ibkr</w:t>
            </w:r>
            <w:r>
              <w:rPr>
                <w:sz w:val="18"/>
              </w:rPr>
              <w:t>)</w:t>
            </w:r>
          </w:p>
        </w:tc>
        <w:tc>
          <w:tcPr>
            <w:tcW w:type="dxa" w:w="3120"/>
          </w:tcPr>
          <w:p>
            <w:pPr>
              <w:spacing w:before="40" w:after="40"/>
            </w:pPr>
            <w:r>
              <w:rPr>
                <w:sz w:val="18"/>
              </w:rPr>
              <w:t>IBKR cooldown between consecutive fetches (~10 min)</w:t>
            </w:r>
          </w:p>
        </w:tc>
        <w:tc>
          <w:tcPr>
            <w:tcW w:type="dxa" w:w="3120"/>
          </w:tcPr>
          <w:p>
            <w:pPr>
              <w:spacing w:before="40" w:after="40"/>
            </w:pPr>
            <w:r>
              <w:rPr>
                <w:sz w:val="18"/>
              </w:rPr>
              <w:t>Wait 10 minutes and retry</w:t>
            </w:r>
          </w:p>
        </w:tc>
      </w:tr>
      <w:tr>
        <w:tc>
          <w:tcPr>
            <w:tcW w:type="dxa" w:w="3120"/>
            <w:shd w:val="clear" w:color="auto" w:fill="EBF3FB"/>
          </w:tcPr>
          <w:p>
            <w:pPr>
              <w:spacing w:before="40" w:after="40"/>
            </w:pPr>
            <w:r>
              <w:rPr>
                <w:sz w:val="18"/>
              </w:rPr>
              <w:t>IBKR Error 1019</w:t>
            </w:r>
          </w:p>
        </w:tc>
        <w:tc>
          <w:tcPr>
            <w:tcW w:type="dxa" w:w="3120"/>
            <w:shd w:val="clear" w:color="auto" w:fill="EBF3FB"/>
          </w:tcPr>
          <w:p>
            <w:pPr>
              <w:spacing w:before="40" w:after="40"/>
            </w:pPr>
            <w:r>
              <w:rPr>
                <w:sz w:val="18"/>
              </w:rPr>
              <w:t>IBKR still generating the report</w:t>
            </w:r>
          </w:p>
        </w:tc>
        <w:tc>
          <w:tcPr>
            <w:tcW w:type="dxa" w:w="3120"/>
            <w:shd w:val="clear" w:color="auto" w:fill="EBF3FB"/>
          </w:tcPr>
          <w:p>
            <w:pPr>
              <w:spacing w:before="40" w:after="40"/>
            </w:pPr>
            <w:r>
              <w:rPr>
                <w:sz w:val="18"/>
              </w:rPr>
              <w:t>Already retried automatically; try again in a few minutes</w:t>
            </w:r>
          </w:p>
        </w:tc>
      </w:tr>
      <w:tr>
        <w:tc>
          <w:tcPr>
            <w:tcW w:type="dxa" w:w="3120"/>
          </w:tcPr>
          <w:p>
            <w:pPr>
              <w:spacing w:before="40" w:after="40"/>
            </w:pPr>
            <w:r>
              <w:rPr>
                <w:rFonts w:ascii="Courier New" w:hAnsi="Courier New"/>
                <w:color w:val="C02040"/>
                <w:sz w:val="16"/>
              </w:rPr>
              <w:t>Unmatched sell</w:t>
            </w:r>
            <w:r>
              <w:rPr>
                <w:sz w:val="18"/>
              </w:rPr>
              <w:t xml:space="preserve"> warning</w:t>
            </w:r>
          </w:p>
        </w:tc>
        <w:tc>
          <w:tcPr>
            <w:tcW w:type="dxa" w:w="3120"/>
          </w:tcPr>
          <w:p>
            <w:pPr>
              <w:spacing w:before="40" w:after="40"/>
            </w:pPr>
            <w:r>
              <w:rPr>
                <w:sz w:val="18"/>
              </w:rPr>
              <w:t>Purchase year not in input data</w:t>
            </w:r>
          </w:p>
        </w:tc>
        <w:tc>
          <w:tcPr>
            <w:tcW w:type="dxa" w:w="3120"/>
          </w:tcPr>
          <w:p>
            <w:pPr>
              <w:spacing w:before="40" w:after="40"/>
            </w:pPr>
            <w:r>
              <w:rPr>
                <w:sz w:val="18"/>
              </w:rPr>
              <w:t xml:space="preserve">Run with all years' files, or place them all in </w:t>
            </w:r>
            <w:r>
              <w:rPr>
                <w:rFonts w:ascii="Courier New" w:hAnsi="Courier New"/>
                <w:color w:val="C02040"/>
                <w:sz w:val="16"/>
              </w:rPr>
              <w:t>users/{person}/data/</w:t>
            </w:r>
          </w:p>
        </w:tc>
      </w:tr>
      <w:tr>
        <w:tc>
          <w:tcPr>
            <w:tcW w:type="dxa" w:w="3120"/>
            <w:shd w:val="clear" w:color="auto" w:fill="EBF3FB"/>
          </w:tcPr>
          <w:p>
            <w:pPr>
              <w:spacing w:before="40" w:after="40"/>
            </w:pPr>
            <w:r>
              <w:rPr>
                <w:rFonts w:ascii="Courier New" w:hAnsi="Courier New"/>
                <w:color w:val="C02040"/>
                <w:sz w:val="16"/>
              </w:rPr>
              <w:t>Negative position</w:t>
            </w:r>
            <w:r>
              <w:rPr>
                <w:sz w:val="18"/>
              </w:rPr>
              <w:t xml:space="preserve"> warning</w:t>
            </w:r>
          </w:p>
        </w:tc>
        <w:tc>
          <w:tcPr>
            <w:tcW w:type="dxa" w:w="3120"/>
            <w:shd w:val="clear" w:color="auto" w:fill="EBF3FB"/>
          </w:tcPr>
          <w:p>
            <w:pPr>
              <w:spacing w:before="40" w:after="40"/>
            </w:pPr>
            <w:r>
              <w:rPr>
                <w:sz w:val="18"/>
              </w:rPr>
              <w:t>More sells than buys for a symbol</w:t>
            </w:r>
          </w:p>
        </w:tc>
        <w:tc>
          <w:tcPr>
            <w:tcW w:type="dxa" w:w="3120"/>
            <w:shd w:val="clear" w:color="auto" w:fill="EBF3FB"/>
          </w:tcPr>
          <w:p>
            <w:pPr>
              <w:spacing w:before="40" w:after="40"/>
            </w:pPr>
            <w:r>
              <w:rPr>
                <w:sz w:val="18"/>
              </w:rPr>
              <w:t>Usually a missing prior-year file; can also indicate a split not in data</w:t>
            </w:r>
          </w:p>
        </w:tc>
      </w:tr>
      <w:tr>
        <w:tc>
          <w:tcPr>
            <w:tcW w:type="dxa" w:w="3120"/>
          </w:tcPr>
          <w:p>
            <w:pPr>
              <w:spacing w:before="40" w:after="40"/>
            </w:pPr>
            <w:r>
              <w:rPr>
                <w:sz w:val="18"/>
              </w:rPr>
              <w:t>OPT rows skipped warning</w:t>
            </w:r>
          </w:p>
        </w:tc>
        <w:tc>
          <w:tcPr>
            <w:tcW w:type="dxa" w:w="3120"/>
          </w:tcPr>
          <w:p>
            <w:pPr>
              <w:spacing w:before="40" w:after="40"/>
            </w:pPr>
            <w:r>
              <w:rPr>
                <w:sz w:val="18"/>
              </w:rPr>
              <w:t>Options/derivatives rows in IBKR data</w:t>
            </w:r>
          </w:p>
        </w:tc>
        <w:tc>
          <w:tcPr>
            <w:tcW w:type="dxa" w:w="3120"/>
          </w:tcPr>
          <w:p>
            <w:pPr>
              <w:spacing w:before="40" w:after="40"/>
            </w:pPr>
            <w:r>
              <w:rPr>
                <w:sz w:val="18"/>
              </w:rPr>
              <w:t xml:space="preserve">Expected: KZ 982/993 not yet implemented; printed as </w:t>
            </w:r>
            <w:r>
              <w:rPr>
                <w:rFonts w:ascii="Courier New" w:hAnsi="Courier New"/>
                <w:color w:val="C02040"/>
                <w:sz w:val="16"/>
              </w:rPr>
              <w:t>[warn]</w:t>
            </w:r>
          </w:p>
        </w:tc>
      </w:tr>
      <w:tr>
        <w:tc>
          <w:tcPr>
            <w:tcW w:type="dxa" w:w="3120"/>
            <w:shd w:val="clear" w:color="auto" w:fill="EBF3FB"/>
          </w:tcPr>
          <w:p>
            <w:pPr>
              <w:spacing w:before="40" w:after="40"/>
            </w:pPr>
            <w:r>
              <w:rPr>
                <w:rFonts w:ascii="Courier New" w:hAnsi="Courier New"/>
                <w:color w:val="C02040"/>
                <w:sz w:val="16"/>
              </w:rPr>
              <w:t>openpyxl not installed</w:t>
            </w:r>
          </w:p>
        </w:tc>
        <w:tc>
          <w:tcPr>
            <w:tcW w:type="dxa" w:w="3120"/>
            <w:shd w:val="clear" w:color="auto" w:fill="EBF3FB"/>
          </w:tcPr>
          <w:p>
            <w:pPr>
              <w:spacing w:before="40" w:after="40"/>
            </w:pPr>
            <w:r>
              <w:rPr>
                <w:sz w:val="18"/>
              </w:rPr>
              <w:t>Dependency missing</w:t>
            </w:r>
          </w:p>
        </w:tc>
        <w:tc>
          <w:tcPr>
            <w:tcW w:type="dxa" w:w="3120"/>
            <w:shd w:val="clear" w:color="auto" w:fill="EBF3FB"/>
          </w:tcPr>
          <w:p>
            <w:pPr>
              <w:spacing w:before="40" w:after="40"/>
            </w:pPr>
            <w:r>
              <w:rPr>
                <w:rFonts w:ascii="Courier New" w:hAnsi="Courier New"/>
                <w:color w:val="C02040"/>
                <w:sz w:val="16"/>
              </w:rPr>
              <w:t>pip install -r requirements.txt</w:t>
            </w:r>
          </w:p>
        </w:tc>
      </w:tr>
      <w:tr>
        <w:tc>
          <w:tcPr>
            <w:tcW w:type="dxa" w:w="3120"/>
          </w:tcPr>
          <w:p>
            <w:pPr>
              <w:spacing w:before="40" w:after="40"/>
            </w:pPr>
            <w:r>
              <w:rPr>
                <w:sz w:val="18"/>
              </w:rPr>
              <w:t>NameError / ImportError</w:t>
            </w:r>
          </w:p>
        </w:tc>
        <w:tc>
          <w:tcPr>
            <w:tcW w:type="dxa" w:w="3120"/>
          </w:tcPr>
          <w:p>
            <w:pPr>
              <w:spacing w:before="40" w:after="40"/>
            </w:pPr>
            <w:r>
              <w:rPr>
                <w:sz w:val="18"/>
              </w:rPr>
              <w:t>Virtual environment not activated</w:t>
            </w:r>
          </w:p>
        </w:tc>
        <w:tc>
          <w:tcPr>
            <w:tcW w:type="dxa" w:w="3120"/>
          </w:tcPr>
          <w:p>
            <w:pPr>
              <w:spacing w:before="40" w:after="40"/>
            </w:pPr>
            <w:r>
              <w:rPr>
                <w:rFonts w:ascii="Courier New" w:hAnsi="Courier New"/>
                <w:color w:val="C02040"/>
                <w:sz w:val="16"/>
              </w:rPr>
              <w:t>source .venv/bin/activate</w:t>
            </w:r>
          </w:p>
        </w:tc>
      </w:tr>
      <w:tr>
        <w:tc>
          <w:tcPr>
            <w:tcW w:type="dxa" w:w="3120"/>
            <w:shd w:val="clear" w:color="auto" w:fill="EBF3FB"/>
          </w:tcPr>
          <w:p>
            <w:pPr>
              <w:spacing w:before="40" w:after="40"/>
            </w:pPr>
            <w:r>
              <w:rPr>
                <w:sz w:val="18"/>
              </w:rPr>
              <w:t>SAXO ClosedPositions qty=1</w:t>
            </w:r>
          </w:p>
        </w:tc>
        <w:tc>
          <w:tcPr>
            <w:tcW w:type="dxa" w:w="3120"/>
            <w:shd w:val="clear" w:color="auto" w:fill="EBF3FB"/>
          </w:tcPr>
          <w:p>
            <w:pPr>
              <w:spacing w:before="40" w:after="40"/>
            </w:pPr>
            <w:r>
              <w:rPr>
                <w:sz w:val="18"/>
              </w:rPr>
              <w:t>Using AggregatedAmounts instead</w:t>
            </w:r>
          </w:p>
        </w:tc>
        <w:tc>
          <w:tcPr>
            <w:tcW w:type="dxa" w:w="3120"/>
            <w:shd w:val="clear" w:color="auto" w:fill="EBF3FB"/>
          </w:tcPr>
          <w:p>
            <w:pPr>
              <w:spacing w:before="40" w:after="40"/>
            </w:pPr>
            <w:r>
              <w:rPr>
                <w:sz w:val="18"/>
              </w:rPr>
              <w:t>Preferred: use ClosedPositions for 2024+ DK account capital gains</w:t>
            </w:r>
          </w:p>
        </w:tc>
      </w:tr>
      <w:tr>
        <w:tc>
          <w:tcPr>
            <w:tcW w:type="dxa" w:w="3120"/>
          </w:tcPr>
          <w:p>
            <w:pPr>
              <w:spacing w:before="40" w:after="40"/>
            </w:pPr>
            <w:r>
              <w:rPr>
                <w:sz w:val="18"/>
              </w:rPr>
              <w:t>E*Trade recap PDF not parsed</w:t>
            </w:r>
          </w:p>
        </w:tc>
        <w:tc>
          <w:tcPr>
            <w:tcW w:type="dxa" w:w="3120"/>
          </w:tcPr>
          <w:p>
            <w:pPr>
              <w:spacing w:before="40" w:after="40"/>
            </w:pPr>
            <w:r>
              <w:rPr>
                <w:sz w:val="18"/>
              </w:rPr>
              <w:t>Standalone annual recap has no year context</w:t>
            </w:r>
          </w:p>
        </w:tc>
        <w:tc>
          <w:tcPr>
            <w:tcW w:type="dxa" w:w="3120"/>
          </w:tcPr>
          <w:p>
            <w:pPr>
              <w:spacing w:before="40" w:after="40"/>
            </w:pPr>
            <w:r>
              <w:rPr>
                <w:sz w:val="18"/>
              </w:rPr>
              <w:t>Expected: only monthly/quarterly statements are parsed; recaps are skipped</w:t>
            </w:r>
          </w:p>
        </w:tc>
      </w:tr>
    </w:tbl>
    <w:p/>
    <w:p>
      <w:pPr>
        <w:spacing w:before="40" w:after="40"/>
      </w:pPr>
    </w:p>
    <w:p>
      <w:r>
        <w:t xml:space="preserve">*This file supersedes </w:t>
      </w:r>
      <w:r>
        <w:rPr>
          <w:rFonts w:ascii="Courier New" w:hAnsi="Courier New"/>
          <w:color w:val="C02040"/>
          <w:sz w:val="20"/>
        </w:rPr>
        <w:t>docs/kapitalertrag_documentation.docx</w:t>
      </w:r>
      <w:r>
        <w:t xml:space="preserve"> (archived, last updated 2026-05-01 at v1.0).*</w:t>
      </w:r>
    </w:p>
    <w:p>
      <w:r>
        <w:t xml:space="preserve">*For investment strategy and WHT reclaim research, see </w:t>
      </w:r>
      <w:r>
        <w:rPr>
          <w:rFonts w:ascii="Courier New" w:hAnsi="Courier New"/>
          <w:color w:val="C02040"/>
          <w:sz w:val="20"/>
        </w:rPr>
        <w:t>docs/investment-strategy-matthias-2026.md</w:t>
      </w:r>
      <w:r>
        <w:t>.*</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