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h1"/>
    <w:p>
      <w:pPr>
        <w:pStyle w:val="Heading1"/>
      </w:pPr>
      <w:r>
        <w:t xml:space="preserve">H1</w:t>
      </w:r>
    </w:p>
    <w:bookmarkStart w:id="24" w:name="h2"/>
    <w:p>
      <w:pPr>
        <w:pStyle w:val="Heading2"/>
      </w:pPr>
      <w:r>
        <w:t xml:space="preserve">H2</w:t>
      </w:r>
    </w:p>
    <w:bookmarkStart w:id="23" w:name="h3"/>
    <w:p>
      <w:pPr>
        <w:pStyle w:val="Heading3"/>
      </w:pPr>
      <w:r>
        <w:t xml:space="preserve">H3</w:t>
      </w:r>
    </w:p>
    <w:bookmarkStart w:id="22" w:name="h4"/>
    <w:p>
      <w:pPr>
        <w:pStyle w:val="Heading4"/>
      </w:pPr>
      <w:r>
        <w:t xml:space="preserve">H4</w:t>
      </w:r>
    </w:p>
    <w:bookmarkStart w:id="21" w:name="h5"/>
    <w:p>
      <w:pPr>
        <w:pStyle w:val="Heading5"/>
      </w:pPr>
      <w:r>
        <w:t xml:space="preserve">H5</w:t>
      </w:r>
    </w:p>
    <w:bookmarkStart w:id="20" w:name="h6"/>
    <w:p>
      <w:pPr>
        <w:pStyle w:val="Heading6"/>
      </w:pPr>
      <w:r>
        <w:t xml:space="preserve">H6</w:t>
      </w:r>
    </w:p>
    <w:bookmarkEnd w:id="20"/>
    <w:bookmarkEnd w:id="21"/>
    <w:bookmarkEnd w:id="22"/>
    <w:bookmarkEnd w:id="23"/>
    <w:bookmarkEnd w:id="24"/>
    <w:bookmarkStart w:id="25" w:name="emphasis"/>
    <w:p>
      <w:pPr>
        <w:pStyle w:val="Heading2"/>
      </w:pPr>
      <w:r>
        <w:t xml:space="preserve">Emphasis</w:t>
      </w:r>
    </w:p>
    <w:p>
      <w:pPr>
        <w:pStyle w:val="FirstParagraph"/>
      </w:pPr>
      <w:r>
        <w:t xml:space="preserve">Emphasis, aka italics, with</w:t>
      </w:r>
      <w:r>
        <w:t xml:space="preserve"> </w:t>
      </w:r>
      <w:r>
        <w:rPr>
          <w:iCs/>
          <w:i/>
        </w:rPr>
        <w:t xml:space="preserve">asterisks</w:t>
      </w:r>
      <w:r>
        <w:t xml:space="preserve"> </w:t>
      </w:r>
      <w:r>
        <w:t xml:space="preserve">or</w:t>
      </w:r>
      <w:r>
        <w:t xml:space="preserve"> </w:t>
      </w:r>
      <w:r>
        <w:rPr>
          <w:iCs/>
          <w:i/>
        </w:rPr>
        <w:t xml:space="preserve">underscores</w:t>
      </w:r>
      <w:r>
        <w:t xml:space="preserve">.</w:t>
      </w:r>
    </w:p>
    <w:p>
      <w:pPr>
        <w:pStyle w:val="BodyText"/>
      </w:pPr>
      <w:r>
        <w:t xml:space="preserve">Strong emphasis, aka bold, with</w:t>
      </w:r>
      <w:r>
        <w:t xml:space="preserve"> </w:t>
      </w:r>
      <w:r>
        <w:rPr>
          <w:bCs/>
          <w:b/>
        </w:rPr>
        <w:t xml:space="preserve">asterisks</w:t>
      </w:r>
      <w:r>
        <w:t xml:space="preserve"> </w:t>
      </w:r>
      <w:r>
        <w:t xml:space="preserve">or</w:t>
      </w:r>
      <w:r>
        <w:t xml:space="preserve"> </w:t>
      </w:r>
      <w:r>
        <w:rPr>
          <w:bCs/>
          <w:b/>
        </w:rPr>
        <w:t xml:space="preserve">underscores</w:t>
      </w:r>
      <w:r>
        <w:t xml:space="preserve">.</w:t>
      </w:r>
    </w:p>
    <w:p>
      <w:pPr>
        <w:pStyle w:val="BodyText"/>
      </w:pPr>
      <w:r>
        <w:t xml:space="preserve">Combined emphasis with</w:t>
      </w:r>
      <w:r>
        <w:t xml:space="preserve"> </w:t>
      </w:r>
      <w:r>
        <w:rPr>
          <w:bCs/>
          <w:b/>
        </w:rPr>
        <w:t xml:space="preserve">asterisks and</w:t>
      </w:r>
      <w:r>
        <w:rPr>
          <w:bCs/>
          <w:b/>
        </w:rPr>
        <w:t xml:space="preserve"> </w:t>
      </w:r>
      <w:r>
        <w:rPr>
          <w:iCs/>
          <w:i/>
          <w:bCs/>
          <w:b/>
        </w:rPr>
        <w:t xml:space="preserve">underscores</w:t>
      </w:r>
      <w:r>
        <w:t xml:space="preserve">.</w:t>
      </w:r>
    </w:p>
    <w:p>
      <w:pPr>
        <w:pStyle w:val="BodyText"/>
      </w:pPr>
      <w:r>
        <w:t xml:space="preserve">Strikethrough uses two tildes.</w:t>
      </w:r>
      <w:r>
        <w:t xml:space="preserve"> </w:t>
      </w:r>
      <w:r>
        <w:rPr>
          <w:strike/>
        </w:rPr>
        <w:t xml:space="preserve">Scratch this.</w:t>
      </w:r>
    </w:p>
    <w:bookmarkEnd w:id="25"/>
    <w:bookmarkStart w:id="28" w:name="list"/>
    <w:p>
      <w:pPr>
        <w:pStyle w:val="Heading2"/>
      </w:pPr>
      <w:r>
        <w:t xml:space="preserve">List</w:t>
      </w:r>
    </w:p>
    <w:p>
      <w:pPr>
        <w:numPr>
          <w:ilvl w:val="0"/>
          <w:numId w:val="1001"/>
        </w:numPr>
        <w:pStyle w:val="Compact"/>
      </w:pPr>
      <w:r>
        <w:t xml:space="preserve">First ordered list item</w:t>
      </w:r>
    </w:p>
    <w:p>
      <w:pPr>
        <w:numPr>
          <w:ilvl w:val="0"/>
          <w:numId w:val="1001"/>
        </w:numPr>
        <w:pStyle w:val="Compact"/>
      </w:pPr>
      <w:r>
        <w:t xml:space="preserve">Another item</w:t>
      </w:r>
      <w:r>
        <w:t xml:space="preserve"> </w:t>
      </w:r>
      <w:r>
        <w:t xml:space="preserve">⋅⋅* Unordered sub-list.</w:t>
      </w:r>
    </w:p>
    <w:p>
      <w:pPr>
        <w:numPr>
          <w:ilvl w:val="0"/>
          <w:numId w:val="1001"/>
        </w:numPr>
        <w:pStyle w:val="Compact"/>
      </w:pPr>
      <w:r>
        <w:t xml:space="preserve">Actual numbers don’t matter, just that it’s a number</w:t>
      </w:r>
      <w:r>
        <w:t xml:space="preserve"> </w:t>
      </w:r>
      <w:r>
        <w:t xml:space="preserve">⋅⋅1. Ordered sub-list</w:t>
      </w:r>
    </w:p>
    <w:p>
      <w:pPr>
        <w:numPr>
          <w:ilvl w:val="0"/>
          <w:numId w:val="1001"/>
        </w:numPr>
        <w:pStyle w:val="Compact"/>
      </w:pPr>
      <w:r>
        <w:t xml:space="preserve">And another item.</w:t>
      </w:r>
    </w:p>
    <w:bookmarkStart w:id="26" w:name="ordered-list"/>
    <w:p>
      <w:pPr>
        <w:pStyle w:val="Heading3"/>
      </w:pPr>
      <w:r>
        <w:t xml:space="preserve">Ordered List</w:t>
      </w:r>
    </w:p>
    <w:p>
      <w:pPr>
        <w:numPr>
          <w:ilvl w:val="0"/>
          <w:numId w:val="1002"/>
        </w:numPr>
        <w:pStyle w:val="Compact"/>
      </w:pPr>
      <w:r>
        <w:t xml:space="preserve">First item</w:t>
      </w:r>
    </w:p>
    <w:p>
      <w:pPr>
        <w:numPr>
          <w:ilvl w:val="0"/>
          <w:numId w:val="1002"/>
        </w:numPr>
        <w:pStyle w:val="Compact"/>
      </w:pPr>
      <w:r>
        <w:t xml:space="preserve">Second item</w:t>
      </w:r>
    </w:p>
    <w:p>
      <w:pPr>
        <w:numPr>
          <w:ilvl w:val="0"/>
          <w:numId w:val="1002"/>
        </w:numPr>
        <w:pStyle w:val="Compact"/>
      </w:pPr>
      <w:r>
        <w:t xml:space="preserve">Third item</w:t>
      </w:r>
    </w:p>
    <w:bookmarkEnd w:id="26"/>
    <w:bookmarkStart w:id="27" w:name="unordered-list"/>
    <w:p>
      <w:pPr>
        <w:pStyle w:val="Heading3"/>
      </w:pPr>
      <w:r>
        <w:t xml:space="preserve">Unordered List</w:t>
      </w:r>
    </w:p>
    <w:p>
      <w:pPr>
        <w:numPr>
          <w:ilvl w:val="0"/>
          <w:numId w:val="1003"/>
        </w:numPr>
        <w:pStyle w:val="Compact"/>
      </w:pPr>
      <w:r>
        <w:t xml:space="preserve">First item</w:t>
      </w:r>
    </w:p>
    <w:p>
      <w:pPr>
        <w:numPr>
          <w:ilvl w:val="0"/>
          <w:numId w:val="1003"/>
        </w:numPr>
        <w:pStyle w:val="Compact"/>
      </w:pPr>
      <w:r>
        <w:t xml:space="preserve">Second item</w:t>
      </w:r>
    </w:p>
    <w:p>
      <w:pPr>
        <w:numPr>
          <w:ilvl w:val="0"/>
          <w:numId w:val="1003"/>
        </w:numPr>
        <w:pStyle w:val="Compact"/>
      </w:pPr>
      <w:r>
        <w:t xml:space="preserve">Third item</w:t>
      </w:r>
    </w:p>
    <w:bookmarkEnd w:id="27"/>
    <w:bookmarkEnd w:id="28"/>
    <w:bookmarkStart w:id="29" w:name="table"/>
    <w:p>
      <w:pPr>
        <w:pStyle w:val="Heading2"/>
      </w:pPr>
      <w:r>
        <w:t xml:space="preserve">Table</w:t>
      </w:r>
    </w:p>
    <w:p>
      <w:pPr>
        <w:pStyle w:val="FirstParagraph"/>
      </w:pPr>
      <w:r>
        <w:t xml:space="preserve">Colons can be used to align columns.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Tables</w:t>
            </w:r>
          </w:p>
        </w:tc>
        <w:tc>
          <w:tcPr/>
          <w:p>
            <w:pPr>
              <w:pStyle w:val="Compact"/>
              <w:jc w:val="center"/>
            </w:pPr>
            <w:r>
              <w:t xml:space="preserve">Are</w:t>
            </w:r>
          </w:p>
        </w:tc>
        <w:tc>
          <w:tcPr/>
          <w:p>
            <w:pPr>
              <w:pStyle w:val="Compact"/>
              <w:jc w:val="right"/>
            </w:pPr>
            <w:r>
              <w:t xml:space="preserve">Cool</w:t>
            </w:r>
          </w:p>
        </w:tc>
      </w:tr>
      <w:tr>
        <w:tc>
          <w:tcPr/>
          <w:p>
            <w:pPr>
              <w:pStyle w:val="Compact"/>
              <w:jc w:val="left"/>
            </w:pPr>
            <w:r>
              <w:t xml:space="preserve">col 3 is</w:t>
            </w:r>
          </w:p>
        </w:tc>
        <w:tc>
          <w:tcPr/>
          <w:p>
            <w:pPr>
              <w:pStyle w:val="Compact"/>
              <w:jc w:val="center"/>
            </w:pPr>
            <w:r>
              <w:t xml:space="preserve">right-aligned</w:t>
            </w:r>
          </w:p>
        </w:tc>
        <w:tc>
          <w:tcPr/>
          <w:p>
            <w:pPr>
              <w:pStyle w:val="Compact"/>
              <w:jc w:val="right"/>
            </w:pPr>
            <w:r>
              <w:t xml:space="preserve">$1600</w:t>
            </w:r>
          </w:p>
        </w:tc>
      </w:tr>
      <w:tr>
        <w:tc>
          <w:tcPr/>
          <w:p>
            <w:pPr>
              <w:pStyle w:val="Compact"/>
              <w:jc w:val="left"/>
            </w:pPr>
            <w:r>
              <w:t xml:space="preserve">col 2 is</w:t>
            </w:r>
          </w:p>
        </w:tc>
        <w:tc>
          <w:tcPr/>
          <w:p>
            <w:pPr>
              <w:pStyle w:val="Compact"/>
              <w:jc w:val="center"/>
            </w:pPr>
            <w:r>
              <w:t xml:space="preserve">centered</w:t>
            </w:r>
          </w:p>
        </w:tc>
        <w:tc>
          <w:tcPr/>
          <w:p>
            <w:pPr>
              <w:pStyle w:val="Compact"/>
              <w:jc w:val="right"/>
            </w:pPr>
            <w:r>
              <w:t xml:space="preserve">$12</w:t>
            </w:r>
          </w:p>
        </w:tc>
      </w:tr>
      <w:tr>
        <w:tc>
          <w:tcPr/>
          <w:p>
            <w:pPr>
              <w:pStyle w:val="Compact"/>
              <w:jc w:val="left"/>
            </w:pPr>
            <w:r>
              <w:t xml:space="preserve">zebra stripes</w:t>
            </w:r>
          </w:p>
        </w:tc>
        <w:tc>
          <w:tcPr/>
          <w:p>
            <w:pPr>
              <w:pStyle w:val="Compact"/>
              <w:jc w:val="center"/>
            </w:pPr>
            <w:r>
              <w:t xml:space="preserve">are neat</w:t>
            </w:r>
          </w:p>
        </w:tc>
        <w:tc>
          <w:tcPr/>
          <w:p>
            <w:pPr>
              <w:pStyle w:val="Compact"/>
              <w:jc w:val="right"/>
            </w:pPr>
            <w:r>
              <w:t xml:space="preserve">$1</w:t>
            </w:r>
          </w:p>
        </w:tc>
      </w:tr>
    </w:tbl>
    <w:p>
      <w:pPr>
        <w:pStyle w:val="BodyText"/>
      </w:pPr>
      <w:r>
        <w:t xml:space="preserve">There must be at least 3 dashes separating each header cell.</w:t>
      </w:r>
      <w:r>
        <w:t xml:space="preserve"> </w:t>
      </w:r>
      <w:r>
        <w:t xml:space="preserve">The outer pipes (|) are optional, and you don’t need to make the</w:t>
      </w:r>
      <w:r>
        <w:t xml:space="preserve"> </w:t>
      </w:r>
      <w:r>
        <w:t xml:space="preserve">raw Markdown line up prettily. You can also use inline Markdown.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Markdown</w:t>
            </w:r>
          </w:p>
        </w:tc>
        <w:tc>
          <w:tcPr/>
          <w:p>
            <w:pPr>
              <w:pStyle w:val="Compact"/>
              <w:jc w:val="left"/>
            </w:pPr>
            <w:r>
              <w:t xml:space="preserve">Less</w:t>
            </w:r>
          </w:p>
        </w:tc>
        <w:tc>
          <w:tcPr/>
          <w:p>
            <w:pPr>
              <w:pStyle w:val="Compact"/>
              <w:jc w:val="left"/>
            </w:pPr>
            <w:r>
              <w:t xml:space="preserve">Pretty</w:t>
            </w:r>
          </w:p>
        </w:tc>
      </w:tr>
      <w:tr>
        <w:tc>
          <w:tcPr/>
          <w:p>
            <w:pPr>
              <w:pStyle w:val="Compact"/>
              <w:jc w:val="left"/>
            </w:pPr>
            <w:r>
              <w:rPr>
                <w:iCs/>
                <w:i/>
              </w:rPr>
              <w:t xml:space="preserve">Still</w:t>
            </w:r>
          </w:p>
        </w:tc>
        <w:tc>
          <w:tcPr/>
          <w:p>
            <w:pPr>
              <w:pStyle w:val="Compact"/>
              <w:jc w:val="left"/>
            </w:pPr>
            <w:r>
              <w:rPr>
                <w:rStyle w:val="VerbatimChar"/>
              </w:rPr>
              <w:t xml:space="preserve">renders</w:t>
            </w:r>
          </w:p>
        </w:tc>
        <w:tc>
          <w:tcPr/>
          <w:p>
            <w:pPr>
              <w:pStyle w:val="Compact"/>
              <w:jc w:val="left"/>
            </w:pPr>
            <w:r>
              <w:rPr>
                <w:bCs/>
                <w:b/>
              </w:rPr>
              <w:t xml:space="preserve">nicely</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p>
      <w:pPr>
        <w:pStyle w:val="BodyText"/>
      </w:pPr>
      <w:r>
        <w:t xml:space="preserve">xxxx</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iCs/>
                <w:i/>
              </w:rPr>
              <w:t xml:space="preserve">Still</w:t>
            </w:r>
          </w:p>
        </w:tc>
        <w:tc>
          <w:tcPr/>
          <w:p>
            <w:pPr>
              <w:pStyle w:val="Compact"/>
              <w:jc w:val="left"/>
            </w:pPr>
            <w:r>
              <w:rPr>
                <w:rStyle w:val="VerbatimChar"/>
              </w:rPr>
              <w:t xml:space="preserve">renders</w:t>
            </w:r>
          </w:p>
        </w:tc>
        <w:tc>
          <w:tcPr/>
          <w:p>
            <w:pPr>
              <w:pStyle w:val="Compact"/>
              <w:jc w:val="left"/>
            </w:pPr>
            <w:r>
              <w:rPr>
                <w:bCs/>
                <w:b/>
              </w:rPr>
              <w:t xml:space="preserve">nicely</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bl>
    <w:bookmarkEnd w:id="29"/>
    <w:bookmarkStart w:id="35" w:name="images"/>
    <w:p>
      <w:pPr>
        <w:pStyle w:val="Heading2"/>
      </w:pPr>
      <w:r>
        <w:t xml:space="preserve">images</w:t>
      </w:r>
    </w:p>
    <w:p>
      <w:pPr>
        <w:pStyle w:val="FirstParagraph"/>
      </w:pPr>
      <w:r>
        <w:t xml:space="preserve">Here’s our logo (hover to see the title text):</w:t>
      </w:r>
    </w:p>
    <w:p>
      <w:pPr>
        <w:pStyle w:val="BodyText"/>
      </w:pPr>
      <w:r>
        <w:t xml:space="preserve">Inline-style:</w:t>
      </w:r>
      <w:r>
        <w:t xml:space="preserve"> </w:t>
      </w:r>
      <w:r>
        <w:drawing>
          <wp:inline>
            <wp:extent cx="61044" cy="61044"/>
            <wp:effectExtent b="0" l="0" r="0" t="0"/>
            <wp:docPr descr="alt text" title="Logo Title Text 1" id="31" name="Picture"/>
            <a:graphic>
              <a:graphicData uri="http://schemas.openxmlformats.org/drawingml/2006/picture">
                <pic:pic>
                  <pic:nvPicPr>
                    <pic:cNvPr descr="https://github.com/adam-p/markdown-here/raw/master/src/common/images/icon48.png" id="32" name="Picture"/>
                    <pic:cNvPicPr>
                      <a:picLocks noChangeArrowheads="1" noChangeAspect="1"/>
                    </pic:cNvPicPr>
                  </pic:nvPicPr>
                  <pic:blipFill>
                    <a:blip r:embed="rId30"/>
                    <a:stretch>
                      <a:fillRect/>
                    </a:stretch>
                  </pic:blipFill>
                  <pic:spPr bwMode="auto">
                    <a:xfrm>
                      <a:off x="0" y="0"/>
                      <a:ext cx="61044" cy="61044"/>
                    </a:xfrm>
                    <a:prstGeom prst="rect">
                      <a:avLst/>
                    </a:prstGeom>
                    <a:noFill/>
                    <a:ln w="9525">
                      <a:noFill/>
                      <a:headEnd/>
                      <a:tailEnd/>
                    </a:ln>
                  </pic:spPr>
                </pic:pic>
              </a:graphicData>
            </a:graphic>
          </wp:inline>
        </w:drawing>
      </w:r>
    </w:p>
    <w:p>
      <w:pPr>
        <w:pStyle w:val="BodyText"/>
      </w:pPr>
      <w:r>
        <w:t xml:space="preserve">Reference-style:</w:t>
      </w:r>
      <w:r>
        <w:t xml:space="preserve"> </w:t>
      </w:r>
      <w:r>
        <w:drawing>
          <wp:inline>
            <wp:extent cx="61044" cy="61044"/>
            <wp:effectExtent b="0" l="0" r="0" t="0"/>
            <wp:docPr descr="alt text" title="Logo Title Text 2" id="33" name="Picture"/>
            <a:graphic>
              <a:graphicData uri="http://schemas.openxmlformats.org/drawingml/2006/picture">
                <pic:pic>
                  <pic:nvPicPr>
                    <pic:cNvPr descr="https://github.com/adam-p/markdown-here/raw/master/src/common/images/icon48.png" id="34" name="Picture"/>
                    <pic:cNvPicPr>
                      <a:picLocks noChangeArrowheads="1" noChangeAspect="1"/>
                    </pic:cNvPicPr>
                  </pic:nvPicPr>
                  <pic:blipFill>
                    <a:blip r:embed="rId30"/>
                    <a:stretch>
                      <a:fillRect/>
                    </a:stretch>
                  </pic:blipFill>
                  <pic:spPr bwMode="auto">
                    <a:xfrm>
                      <a:off x="0" y="0"/>
                      <a:ext cx="61044" cy="61044"/>
                    </a:xfrm>
                    <a:prstGeom prst="rect">
                      <a:avLst/>
                    </a:prstGeom>
                    <a:noFill/>
                    <a:ln w="9525">
                      <a:noFill/>
                      <a:headEnd/>
                      <a:tailEnd/>
                    </a:ln>
                  </pic:spPr>
                </pic:pic>
              </a:graphicData>
            </a:graphic>
          </wp:inline>
        </w:drawing>
      </w:r>
    </w:p>
    <w:bookmarkEnd w:id="35"/>
    <w:bookmarkStart w:id="36" w:name="blockquotes"/>
    <w:p>
      <w:pPr>
        <w:pStyle w:val="Heading2"/>
      </w:pPr>
      <w:r>
        <w:t xml:space="preserve">Blockquotes</w:t>
      </w:r>
    </w:p>
    <w:p>
      <w:pPr>
        <w:pStyle w:val="BlockText"/>
      </w:pPr>
      <w:r>
        <w:t xml:space="preserve">Blockquotes are very handy in email to emulate reply text.</w:t>
      </w:r>
      <w:r>
        <w:t xml:space="preserve"> </w:t>
      </w:r>
      <w:r>
        <w:t xml:space="preserve">This line is part of the same quote.</w:t>
      </w:r>
    </w:p>
    <w:p>
      <w:pPr>
        <w:pStyle w:val="FirstParagraph"/>
      </w:pPr>
      <w:r>
        <w:t xml:space="preserve">Quote break.</w:t>
      </w:r>
    </w:p>
    <w:p>
      <w:pPr>
        <w:pStyle w:val="BlockText"/>
      </w:pPr>
      <w:r>
        <w:t xml:space="preserve">This is a very long line that will still be quoted properly when it wraps. Oh boy let’s keep writing to make sure this is long enough to actually wrap for everyone. Oh, you can</w:t>
      </w:r>
      <w:r>
        <w:t xml:space="preserve"> </w:t>
      </w:r>
      <w:r>
        <w:rPr>
          <w:iCs/>
          <w:i/>
        </w:rPr>
        <w:t xml:space="preserve">put</w:t>
      </w:r>
      <w:r>
        <w:t xml:space="preserve"> </w:t>
      </w:r>
      <w:r>
        <w:rPr>
          <w:bCs/>
          <w:b/>
        </w:rPr>
        <w:t xml:space="preserve">Markdown</w:t>
      </w:r>
      <w:r>
        <w:t xml:space="preserve"> </w:t>
      </w:r>
      <w:r>
        <w:t xml:space="preserve">into a blockquote.</w:t>
      </w:r>
    </w:p>
    <w:bookmarkEnd w:id="36"/>
    <w:bookmarkStart w:id="37" w:name="code-and-syntax-highlighting"/>
    <w:p>
      <w:pPr>
        <w:pStyle w:val="Heading2"/>
      </w:pPr>
      <w:r>
        <w:t xml:space="preserve">Code and Syntax Highlighting</w:t>
      </w:r>
    </w:p>
    <w:p>
      <w:pPr>
        <w:pStyle w:val="SourceCode"/>
      </w:pPr>
      <w:r>
        <w:rPr>
          <w:rStyle w:val="KeywordTok"/>
        </w:rPr>
        <w:t xml:space="preserve">var</w:t>
      </w:r>
      <w:r>
        <w:rPr>
          <w:rStyle w:val="NormalTok"/>
        </w:rPr>
        <w:t xml:space="preserve"> s </w:t>
      </w:r>
      <w:r>
        <w:rPr>
          <w:rStyle w:val="OperatorTok"/>
        </w:rPr>
        <w:t xml:space="preserve">=</w:t>
      </w:r>
      <w:r>
        <w:rPr>
          <w:rStyle w:val="NormalTok"/>
        </w:rPr>
        <w:t xml:space="preserve"> </w:t>
      </w:r>
      <w:r>
        <w:rPr>
          <w:rStyle w:val="StringTok"/>
        </w:rPr>
        <w:t xml:space="preserve">"JavaScript syntax highlighting"</w:t>
      </w:r>
      <w:r>
        <w:rPr>
          <w:rStyle w:val="OperatorTok"/>
        </w:rPr>
        <w:t xml:space="preserve">;</w:t>
      </w:r>
      <w:r>
        <w:br/>
      </w:r>
      <w:r>
        <w:rPr>
          <w:rStyle w:val="FunctionTok"/>
        </w:rPr>
        <w:t xml:space="preserve">alert</w:t>
      </w:r>
      <w:r>
        <w:rPr>
          <w:rStyle w:val="NormalTok"/>
        </w:rPr>
        <w:t xml:space="preserve">(s)</w:t>
      </w:r>
      <w:r>
        <w:rPr>
          <w:rStyle w:val="OperatorTok"/>
        </w:rPr>
        <w:t xml:space="preserv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p>
      <w:pPr>
        <w:pStyle w:val="SourceCode"/>
      </w:pPr>
      <w:r>
        <w:rPr>
          <w:rStyle w:val="VerbatimChar"/>
        </w:rPr>
        <w:t xml:space="preserve">No language indicated, so no syntax highlighting.</w:t>
      </w:r>
      <w:r>
        <w:br/>
      </w:r>
      <w:r>
        <w:rPr>
          <w:rStyle w:val="VerbatimChar"/>
        </w:rPr>
        <w:t xml:space="preserve">But let's throw in a &lt;b&gt;tag&lt;/b&gt;.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2022-08-16T08:53:16Z</dcterms:created>
  <dcterms:modified xsi:type="dcterms:W3CDTF">2022-08-16T08:53:16Z</dcterms:modified>
</cp:coreProperties>
</file>

<file path=docProps/custom.xml><?xml version="1.0" encoding="utf-8"?>
<Properties xmlns="http://schemas.openxmlformats.org/officeDocument/2006/custom-properties" xmlns:vt="http://schemas.openxmlformats.org/officeDocument/2006/docPropsVTypes"/>
</file>