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h1"/>
    <w:p>
      <w:pPr>
        <w:pStyle w:val="Heading1"/>
      </w:pPr>
      <w:r>
        <w:t xml:space="preserve">H1</w:t>
      </w:r>
    </w:p>
    <w:bookmarkStart w:id="24" w:name="h2"/>
    <w:p>
      <w:pPr>
        <w:pStyle w:val="Heading2"/>
      </w:pPr>
      <w:r>
        <w:t xml:space="preserve">H2</w:t>
      </w:r>
    </w:p>
    <w:bookmarkStart w:id="23" w:name="h3"/>
    <w:p>
      <w:pPr>
        <w:pStyle w:val="Heading3"/>
      </w:pPr>
      <w:r>
        <w:t xml:space="preserve">H3</w:t>
      </w:r>
    </w:p>
    <w:bookmarkStart w:id="22" w:name="h4"/>
    <w:p>
      <w:pPr>
        <w:pStyle w:val="Heading4"/>
      </w:pPr>
      <w:r>
        <w:t xml:space="preserve">H4</w:t>
      </w:r>
    </w:p>
    <w:bookmarkStart w:id="21" w:name="h5"/>
    <w:p>
      <w:pPr>
        <w:pStyle w:val="Heading5"/>
      </w:pPr>
      <w:r>
        <w:t xml:space="preserve">H5</w:t>
      </w:r>
    </w:p>
    <w:bookmarkStart w:id="20" w:name="h6"/>
    <w:p>
      <w:pPr>
        <w:pStyle w:val="Heading6"/>
      </w:pPr>
      <w:r>
        <w:t xml:space="preserve">H6</w:t>
      </w:r>
    </w:p>
    <w:bookmarkEnd w:id="20"/>
    <w:bookmarkEnd w:id="21"/>
    <w:bookmarkEnd w:id="22"/>
    <w:bookmarkEnd w:id="23"/>
    <w:bookmarkEnd w:id="24"/>
    <w:bookmarkStart w:id="25" w:name="emphasis"/>
    <w:p>
      <w:pPr>
        <w:pStyle w:val="Heading2"/>
      </w:pPr>
      <w:r>
        <w:t xml:space="preserve">Emphasis</w:t>
      </w:r>
    </w:p>
    <w:p>
      <w:pPr>
        <w:pStyle w:val="FirstParagraph"/>
      </w:pPr>
      <w:r>
        <w:t xml:space="preserve">Emphasis, aka italics, with</w:t>
      </w:r>
      <w:r>
        <w:t xml:space="preserve"> </w:t>
      </w:r>
      <w:r>
        <w:rPr>
          <w:iCs/>
          <w:i/>
        </w:rPr>
        <w:t xml:space="preserve">asterisks</w:t>
      </w:r>
      <w:r>
        <w:t xml:space="preserve"> </w:t>
      </w:r>
      <w:r>
        <w:t xml:space="preserve">or</w:t>
      </w:r>
      <w:r>
        <w:t xml:space="preserve"> </w:t>
      </w:r>
      <w:r>
        <w:rPr>
          <w:iCs/>
          <w:i/>
        </w:rPr>
        <w:t xml:space="preserve">underscores</w:t>
      </w:r>
      <w:r>
        <w:t xml:space="preserve">.</w:t>
      </w:r>
    </w:p>
    <w:p>
      <w:pPr>
        <w:pStyle w:val="BodyText"/>
      </w:pPr>
      <w:r>
        <w:t xml:space="preserve">Strong emphasis, aka bold, with</w:t>
      </w:r>
      <w:r>
        <w:t xml:space="preserve"> </w:t>
      </w:r>
      <w:r>
        <w:rPr>
          <w:bCs/>
          <w:b/>
        </w:rPr>
        <w:t xml:space="preserve">asterisks</w:t>
      </w:r>
      <w:r>
        <w:t xml:space="preserve"> </w:t>
      </w:r>
      <w:r>
        <w:t xml:space="preserve">or</w:t>
      </w:r>
      <w:r>
        <w:t xml:space="preserve"> </w:t>
      </w:r>
      <w:r>
        <w:rPr>
          <w:bCs/>
          <w:b/>
        </w:rPr>
        <w:t xml:space="preserve">underscores</w:t>
      </w:r>
      <w:r>
        <w:t xml:space="preserve">.</w:t>
      </w:r>
    </w:p>
    <w:p>
      <w:pPr>
        <w:pStyle w:val="BodyText"/>
      </w:pPr>
      <w:r>
        <w:t xml:space="preserve">Combined emphasis with</w:t>
      </w:r>
      <w:r>
        <w:t xml:space="preserve"> </w:t>
      </w:r>
      <w:r>
        <w:rPr>
          <w:bCs/>
          <w:b/>
        </w:rPr>
        <w:t xml:space="preserve">asterisks and</w:t>
      </w:r>
      <w:r>
        <w:rPr>
          <w:bCs/>
          <w:b/>
        </w:rPr>
        <w:t xml:space="preserve"> </w:t>
      </w:r>
      <w:r>
        <w:rPr>
          <w:iCs/>
          <w:i/>
          <w:bCs/>
          <w:b/>
        </w:rPr>
        <w:t xml:space="preserve">underscores</w:t>
      </w:r>
      <w:r>
        <w:t xml:space="preserve">.</w:t>
      </w:r>
    </w:p>
    <w:p>
      <w:pPr>
        <w:pStyle w:val="BodyText"/>
      </w:pPr>
      <w:r>
        <w:t xml:space="preserve">Strikethrough uses two tildes.</w:t>
      </w:r>
      <w:r>
        <w:t xml:space="preserve"> </w:t>
      </w:r>
      <w:r>
        <w:rPr>
          <w:strike/>
        </w:rPr>
        <w:t xml:space="preserve">Scratch this.</w:t>
      </w:r>
    </w:p>
    <w:bookmarkEnd w:id="25"/>
    <w:bookmarkStart w:id="28" w:name="list"/>
    <w:p>
      <w:pPr>
        <w:pStyle w:val="Heading2"/>
      </w:pPr>
      <w:r>
        <w:t xml:space="preserve">List</w:t>
      </w:r>
    </w:p>
    <w:p>
      <w:pPr>
        <w:numPr>
          <w:ilvl w:val="0"/>
          <w:numId w:val="1001"/>
        </w:numPr>
        <w:pStyle w:val="Compact"/>
      </w:pPr>
      <w:r>
        <w:t xml:space="preserve">First ordered list item</w:t>
      </w:r>
    </w:p>
    <w:p>
      <w:pPr>
        <w:numPr>
          <w:ilvl w:val="0"/>
          <w:numId w:val="1001"/>
        </w:numPr>
        <w:pStyle w:val="Compact"/>
      </w:pPr>
      <w:r>
        <w:t xml:space="preserve">Another item</w:t>
      </w:r>
      <w:r>
        <w:t xml:space="preserve"> </w:t>
      </w:r>
      <w:r>
        <w:t xml:space="preserve">⋅⋅* Unordered sub-list.</w:t>
      </w:r>
    </w:p>
    <w:p>
      <w:pPr>
        <w:numPr>
          <w:ilvl w:val="0"/>
          <w:numId w:val="1001"/>
        </w:numPr>
        <w:pStyle w:val="Compact"/>
      </w:pPr>
      <w:r>
        <w:t xml:space="preserve">Actual numbers don’t matter, just that it’s a number</w:t>
      </w:r>
      <w:r>
        <w:t xml:space="preserve"> </w:t>
      </w:r>
      <w:r>
        <w:t xml:space="preserve">⋅⋅1. Ordered sub-list</w:t>
      </w:r>
    </w:p>
    <w:p>
      <w:pPr>
        <w:numPr>
          <w:ilvl w:val="0"/>
          <w:numId w:val="1001"/>
        </w:numPr>
        <w:pStyle w:val="Compact"/>
      </w:pPr>
      <w:r>
        <w:t xml:space="preserve">And another item.</w:t>
      </w:r>
    </w:p>
    <w:bookmarkStart w:id="26" w:name="ordered-list"/>
    <w:p>
      <w:pPr>
        <w:pStyle w:val="Heading3"/>
      </w:pPr>
      <w:r>
        <w:t xml:space="preserve">Ordered List</w:t>
      </w:r>
    </w:p>
    <w:p>
      <w:pPr>
        <w:numPr>
          <w:ilvl w:val="0"/>
          <w:numId w:val="1002"/>
        </w:numPr>
        <w:pStyle w:val="Compact"/>
      </w:pPr>
      <w:r>
        <w:t xml:space="preserve">First item</w:t>
      </w:r>
    </w:p>
    <w:p>
      <w:pPr>
        <w:numPr>
          <w:ilvl w:val="0"/>
          <w:numId w:val="1002"/>
        </w:numPr>
        <w:pStyle w:val="Compact"/>
      </w:pPr>
      <w:r>
        <w:t xml:space="preserve">Second item</w:t>
      </w:r>
    </w:p>
    <w:p>
      <w:pPr>
        <w:numPr>
          <w:ilvl w:val="0"/>
          <w:numId w:val="1002"/>
        </w:numPr>
        <w:pStyle w:val="Compact"/>
      </w:pPr>
      <w:r>
        <w:t xml:space="preserve">Third item</w:t>
      </w:r>
    </w:p>
    <w:bookmarkEnd w:id="26"/>
    <w:bookmarkStart w:id="27" w:name="unordered-list"/>
    <w:p>
      <w:pPr>
        <w:pStyle w:val="Heading3"/>
      </w:pPr>
      <w:r>
        <w:t xml:space="preserve">Unordered List</w:t>
      </w:r>
    </w:p>
    <w:p>
      <w:pPr>
        <w:numPr>
          <w:ilvl w:val="0"/>
          <w:numId w:val="1003"/>
        </w:numPr>
        <w:pStyle w:val="Compact"/>
      </w:pPr>
      <w:r>
        <w:t xml:space="preserve">First item</w:t>
      </w:r>
    </w:p>
    <w:p>
      <w:pPr>
        <w:numPr>
          <w:ilvl w:val="0"/>
          <w:numId w:val="1003"/>
        </w:numPr>
        <w:pStyle w:val="Compact"/>
      </w:pPr>
      <w:r>
        <w:t xml:space="preserve">Second item</w:t>
      </w:r>
    </w:p>
    <w:p>
      <w:pPr>
        <w:numPr>
          <w:ilvl w:val="0"/>
          <w:numId w:val="1003"/>
        </w:numPr>
        <w:pStyle w:val="Compact"/>
      </w:pPr>
      <w:r>
        <w:t xml:space="preserve">Third item</w:t>
      </w:r>
    </w:p>
    <w:bookmarkEnd w:id="27"/>
    <w:bookmarkEnd w:id="28"/>
    <w:bookmarkStart w:id="29" w:name="table"/>
    <w:p>
      <w:pPr>
        <w:pStyle w:val="Heading2"/>
      </w:pPr>
      <w:r>
        <w:t xml:space="preserve">Table</w:t>
      </w:r>
    </w:p>
    <w:p>
      <w:pPr>
        <w:pStyle w:val="FirstParagraph"/>
      </w:pPr>
      <w:r>
        <w:t xml:space="preserve">Colons can be used to align columns.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jc w:val="left"/>
            </w:pPr>
            <w:r>
              <w:t xml:space="preserve">col 3 is</w:t>
            </w:r>
          </w:p>
        </w:tc>
        <w:tc>
          <w:tcPr/>
          <w:p>
            <w:pPr>
              <w:pStyle w:val="Compact"/>
              <w:jc w:val="center"/>
            </w:pPr>
            <w:r>
              <w:t xml:space="preserve">right-aligned</w:t>
            </w:r>
          </w:p>
        </w:tc>
        <w:tc>
          <w:tcPr/>
          <w:p>
            <w:pPr>
              <w:pStyle w:val="Compact"/>
              <w:jc w:val="right"/>
            </w:pPr>
            <w:r>
              <w:t xml:space="preserve">$1600</w:t>
            </w:r>
          </w:p>
        </w:tc>
      </w:tr>
      <w:tr>
        <w:tc>
          <w:tcPr/>
          <w:p>
            <w:pPr>
              <w:pStyle w:val="Compact"/>
              <w:jc w:val="lef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jc w:val="left"/>
            </w:pPr>
            <w:r>
              <w:t xml:space="preserve">zebra stripes</w:t>
            </w:r>
          </w:p>
        </w:tc>
        <w:tc>
          <w:tcPr/>
          <w:p>
            <w:pPr>
              <w:pStyle w:val="Compact"/>
              <w:jc w:val="center"/>
            </w:pPr>
            <w:r>
              <w:t xml:space="preserve">are neat</w:t>
            </w:r>
          </w:p>
        </w:tc>
        <w:tc>
          <w:tcPr/>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Markdown</w:t>
            </w:r>
          </w:p>
        </w:tc>
        <w:tc>
          <w:tcPr/>
          <w:p>
            <w:pPr>
              <w:pStyle w:val="Compact"/>
              <w:jc w:val="left"/>
            </w:pPr>
            <w:r>
              <w:t xml:space="preserve">Less</w:t>
            </w:r>
          </w:p>
        </w:tc>
        <w:tc>
          <w:tcPr/>
          <w:p>
            <w:pPr>
              <w:pStyle w:val="Compact"/>
              <w:jc w:val="left"/>
            </w:pPr>
            <w:r>
              <w:t xml:space="preserve">Pretty</w:t>
            </w:r>
          </w:p>
        </w:tc>
      </w:tr>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p>
      <w:pPr>
        <w:pStyle w:val="BodyText"/>
      </w:pPr>
      <w:r>
        <w:t xml:space="preserve">xxxx</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bookmarkEnd w:id="29"/>
    <w:bookmarkStart w:id="35" w:name="images"/>
    <w:p>
      <w:pPr>
        <w:pStyle w:val="Heading2"/>
      </w:pPr>
      <w:r>
        <w:t xml:space="preserve">images</w:t>
      </w:r>
    </w:p>
    <w:p>
      <w:pPr>
        <w:pStyle w:val="FirstParagraph"/>
      </w:pPr>
      <w:r>
        <w:t xml:space="preserve">Here’s our logo (hover to see the title text):</w:t>
      </w:r>
    </w:p>
    <w:p>
      <w:pPr>
        <w:pStyle w:val="BodyText"/>
      </w:pPr>
      <w:r>
        <w:t xml:space="preserve">Inline-style:</w:t>
      </w:r>
      <w:r>
        <w:t xml:space="preserve"> </w:t>
      </w:r>
      <w:r>
        <w:drawing>
          <wp:inline>
            <wp:extent cx="61044" cy="61044"/>
            <wp:effectExtent b="0" l="0" r="0" t="0"/>
            <wp:docPr descr="alt text" title="Logo Title Text 1" id="31" name="Picture"/>
            <a:graphic>
              <a:graphicData uri="http://schemas.openxmlformats.org/drawingml/2006/picture">
                <pic:pic>
                  <pic:nvPicPr>
                    <pic:cNvPr descr="https://github.com/adam-p/markdown-here/raw/master/src/common/images/icon48.png" id="32" name="Picture"/>
                    <pic:cNvPicPr>
                      <a:picLocks noChangeArrowheads="1" noChangeAspect="1"/>
                    </pic:cNvPicPr>
                  </pic:nvPicPr>
                  <pic:blipFill>
                    <a:blip r:embed="rId30"/>
                    <a:stretch>
                      <a:fillRect/>
                    </a:stretch>
                  </pic:blipFill>
                  <pic:spPr bwMode="auto">
                    <a:xfrm>
                      <a:off x="0" y="0"/>
                      <a:ext cx="61044" cy="61044"/>
                    </a:xfrm>
                    <a:prstGeom prst="rect">
                      <a:avLst/>
                    </a:prstGeom>
                    <a:noFill/>
                    <a:ln w="9525">
                      <a:noFill/>
                      <a:headEnd/>
                      <a:tailEnd/>
                    </a:ln>
                  </pic:spPr>
                </pic:pic>
              </a:graphicData>
            </a:graphic>
          </wp:inline>
        </w:drawing>
      </w:r>
    </w:p>
    <w:p>
      <w:pPr>
        <w:pStyle w:val="BodyText"/>
      </w:pPr>
      <w:r>
        <w:t xml:space="preserve">Reference-style:</w:t>
      </w:r>
      <w:r>
        <w:t xml:space="preserve"> </w:t>
      </w:r>
      <w:r>
        <w:drawing>
          <wp:inline>
            <wp:extent cx="61044" cy="61044"/>
            <wp:effectExtent b="0" l="0" r="0" t="0"/>
            <wp:docPr descr="alt text" title="Logo Title Text 2" id="33" name="Picture"/>
            <a:graphic>
              <a:graphicData uri="http://schemas.openxmlformats.org/drawingml/2006/picture">
                <pic:pic>
                  <pic:nvPicPr>
                    <pic:cNvPr descr="https://github.com/adam-p/markdown-here/raw/master/src/common/images/icon48.png" id="34" name="Picture"/>
                    <pic:cNvPicPr>
                      <a:picLocks noChangeArrowheads="1" noChangeAspect="1"/>
                    </pic:cNvPicPr>
                  </pic:nvPicPr>
                  <pic:blipFill>
                    <a:blip r:embed="rId30"/>
                    <a:stretch>
                      <a:fillRect/>
                    </a:stretch>
                  </pic:blipFill>
                  <pic:spPr bwMode="auto">
                    <a:xfrm>
                      <a:off x="0" y="0"/>
                      <a:ext cx="61044" cy="61044"/>
                    </a:xfrm>
                    <a:prstGeom prst="rect">
                      <a:avLst/>
                    </a:prstGeom>
                    <a:noFill/>
                    <a:ln w="9525">
                      <a:noFill/>
                      <a:headEnd/>
                      <a:tailEnd/>
                    </a:ln>
                  </pic:spPr>
                </pic:pic>
              </a:graphicData>
            </a:graphic>
          </wp:inline>
        </w:drawing>
      </w:r>
    </w:p>
    <w:bookmarkEnd w:id="35"/>
    <w:bookmarkStart w:id="36" w:name="blockquotes"/>
    <w:p>
      <w:pPr>
        <w:pStyle w:val="Heading2"/>
      </w:pPr>
      <w:r>
        <w:t xml:space="preserve">Blockquotes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Cs/>
          <w:i/>
        </w:rPr>
        <w:t xml:space="preserve">put</w:t>
      </w:r>
      <w:r>
        <w:t xml:space="preserve"> </w:t>
      </w:r>
      <w:r>
        <w:rPr>
          <w:bCs/>
          <w:b/>
        </w:rPr>
        <w:t xml:space="preserve">Markdown</w:t>
      </w:r>
      <w:r>
        <w:t xml:space="preserve"> </w:t>
      </w:r>
      <w:r>
        <w:t xml:space="preserve">into a blockquote.</w:t>
      </w:r>
    </w:p>
    <w:bookmarkEnd w:id="36"/>
    <w:bookmarkStart w:id="37" w:name="code-and-syntax-highlighting"/>
    <w:p>
      <w:pPr>
        <w:pStyle w:val="Heading2"/>
      </w:pPr>
      <w:r>
        <w:t xml:space="preserve">Code and Syntax Highlighting</w:t>
      </w:r>
    </w:p>
    <w:p>
      <w:pPr>
        <w:pStyle w:val="SourceCode"/>
      </w:pPr>
      <w:r>
        <w:rPr>
          <w:rStyle w:val="KeywordTok"/>
        </w:rPr>
        <w:t xml:space="preserve">var</w:t>
      </w:r>
      <w:r>
        <w:rPr>
          <w:rStyle w:val="NormalTok"/>
        </w:rPr>
        <w:t xml:space="preserve"> s </w:t>
      </w:r>
      <w:r>
        <w:rPr>
          <w:rStyle w:val="OperatorTok"/>
        </w:rPr>
        <w:t xml:space="preserve">=</w:t>
      </w:r>
      <w:r>
        <w:rPr>
          <w:rStyle w:val="NormalTok"/>
        </w:rPr>
        <w:t xml:space="preserve"> </w:t>
      </w:r>
      <w:r>
        <w:rPr>
          <w:rStyle w:val="StringTok"/>
        </w:rPr>
        <w:t xml:space="preserve">"JavaScript syntax highlighting"</w:t>
      </w:r>
      <w:r>
        <w:rPr>
          <w:rStyle w:val="OperatorTok"/>
        </w:rPr>
        <w:t xml:space="preserve">;</w:t>
      </w:r>
      <w:r>
        <w:br/>
      </w:r>
      <w:r>
        <w:rPr>
          <w:rStyle w:val="FunctionTok"/>
        </w:rPr>
        <w:t xml:space="preserve">alert</w:t>
      </w:r>
      <w:r>
        <w:rPr>
          <w:rStyle w:val="NormalTok"/>
        </w:rPr>
        <w:t xml:space="preserve">(s)</w:t>
      </w:r>
      <w:r>
        <w:rPr>
          <w:rStyle w:val="OperatorTok"/>
        </w:rP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p>
      <w:pPr>
        <w:pStyle w:val="SourceCode"/>
      </w:pPr>
      <w:r>
        <w:rPr>
          <w:rStyle w:val="VerbatimChar"/>
        </w:rPr>
        <w:t xml:space="preserve">No language indicated, so no syntax highlighting.</w:t>
      </w:r>
      <w:r>
        <w:br/>
      </w:r>
      <w:r>
        <w:rPr>
          <w:rStyle w:val="VerbatimChar"/>
        </w:rPr>
        <w:t xml:space="preserve">But let's throw in a &lt;b&gt;tag&lt;/b&gt;.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2022-08-15T22:31:23Z</dcterms:created>
  <dcterms:modified xsi:type="dcterms:W3CDTF">2022-08-15T22:31:23Z</dcterms:modified>
</cp:coreProperties>
</file>

<file path=docProps/custom.xml><?xml version="1.0" encoding="utf-8"?>
<Properties xmlns="http://schemas.openxmlformats.org/officeDocument/2006/custom-properties" xmlns:vt="http://schemas.openxmlformats.org/officeDocument/2006/docPropsVTypes"/>
</file>