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line="360" w:lineRule="auto"/>
        <w:jc w:val="center"/>
      </w:pPr>
      <w:r>
        <w:rPr>
          <w:rFonts w:ascii="Times New Roman" w:cs="Times New Roman" w:eastAsia="Times New Roman" w:hAnsi="Times New Roman"/>
          <w:b/>
          <w:bCs/>
          <w:caps/>
          <w:color w:val="444444"/>
          <w:sz w:val="20"/>
          <w:szCs w:val="20"/>
        </w:rPr>
        <w:t xml:space="preserve">ARTICLE DE RECHERCHE</w:t>
      </w:r>
    </w:p>
    <w:p>
      <w:pPr>
        <w:pBdr>
          <w:bottom w:val="single" w:color="000000" w:sz="6" w:space="6"/>
        </w:pBdr>
        <w:spacing w:before="0" w:after="240" w:line="360" w:lineRule="auto"/>
        <w:jc w:val="center"/>
      </w:pPr>
      <w:r>
        <w:rPr>
          <w:rFonts w:ascii="Times New Roman" w:cs="Times New Roman" w:eastAsia="Times New Roman" w:hAnsi="Times New Roman"/>
          <w:b/>
          <w:bCs/>
          <w:color w:val="000000"/>
          <w:sz w:val="44"/>
          <w:szCs w:val="44"/>
        </w:rPr>
        <w:t xml:space="preserve">L’influence de la complexité de l’environnement</w:t>
      </w:r>
    </w:p>
    <w:p>
      <w:pPr>
        <w:spacing w:before="0" w:after="600" w:line="360" w:lineRule="auto"/>
        <w:jc w:val="center"/>
      </w:pPr>
      <w:r>
        <w:rPr>
          <w:rFonts w:ascii="Times New Roman" w:cs="Times New Roman" w:eastAsia="Times New Roman" w:hAnsi="Times New Roman"/>
          <w:b/>
          <w:bCs/>
          <w:color w:val="000000"/>
          <w:sz w:val="44"/>
          <w:szCs w:val="44"/>
        </w:rPr>
        <w:t xml:space="preserve">sur l’évolution morphologique d’une créature virtuelle</w:t>
      </w:r>
    </w:p>
    <w:p>
      <w:pPr>
        <w:spacing w:before="0" w:after="100" w:line="360" w:lineRule="auto"/>
        <w:jc w:val="center"/>
      </w:pPr>
      <w:r>
        <w:rPr>
          <w:rFonts w:ascii="Times New Roman" w:cs="Times New Roman" w:eastAsia="Times New Roman" w:hAnsi="Times New Roman"/>
          <w:b/>
          <w:bCs/>
          <w:color w:val="000000"/>
          <w:sz w:val="24"/>
          <w:szCs w:val="24"/>
        </w:rPr>
        <w:t xml:space="preserve">BEHRA Matthis</w:t>
      </w:r>
    </w:p>
    <w:p>
      <w:pPr>
        <w:spacing w:before="0" w:after="80" w:line="360" w:lineRule="auto"/>
        <w:jc w:val="center"/>
      </w:pPr>
      <w:r>
        <w:rPr>
          <w:rFonts w:ascii="Times New Roman" w:cs="Times New Roman" w:eastAsia="Times New Roman" w:hAnsi="Times New Roman"/>
          <w:color w:val="444444"/>
          <w:sz w:val="22"/>
          <w:szCs w:val="22"/>
        </w:rPr>
        <w:t xml:space="preserve">A4 FISE INFO — 2024/2025</w:t>
      </w:r>
    </w:p>
    <w:p>
      <w:pPr>
        <w:spacing w:before="0" w:after="600" w:line="360" w:lineRule="auto"/>
        <w:jc w:val="center"/>
      </w:pPr>
      <w:r>
        <w:rPr>
          <w:rFonts w:ascii="Times New Roman" w:cs="Times New Roman" w:eastAsia="Times New Roman" w:hAnsi="Times New Roman"/>
          <w:color w:val="444444"/>
          <w:sz w:val="20"/>
          <w:szCs w:val="20"/>
        </w:rPr>
        <w:t xml:space="preserve">Mots-clés : Algorithme génétique, Évolution morphologique, Créature virtuelle, Pression sélective, Simulation</w:t>
      </w:r>
    </w:p>
    <w:p>
      <w:pPr>
        <w:pBdr>
          <w:bottom w:val="single" w:color="BBBBBB" w:sz="2" w:space="1"/>
        </w:pBdr>
        <w:spacing w:before="200" w:after="200" w:line="360" w:lineRule="auto"/>
      </w:pPr>
      <w:r>
        <w:t xml:space="preserve"/>
      </w:r>
    </w:p>
    <w:p>
      <w:pPr>
        <w:pStyle w:val="Heading1"/>
        <w:pBdr>
          <w:bottom w:val="single" w:color="000000" w:sz="8" w:space="4"/>
        </w:pBdr>
        <w:spacing w:before="360" w:after="180" w:line="360" w:lineRule="auto"/>
      </w:pPr>
      <w:r>
        <w:rPr>
          <w:rFonts w:ascii="Times New Roman" w:cs="Times New Roman" w:eastAsia="Times New Roman" w:hAnsi="Times New Roman"/>
          <w:b/>
          <w:bCs/>
          <w:color w:val="000000"/>
          <w:sz w:val="32"/>
          <w:szCs w:val="32"/>
        </w:rPr>
        <w:t xml:space="preserve">1. Abstract</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Les travaux en biologie évolutive démontrent que la morphologie des organismes vivants est profondément contrainte par les pressions sélectives exercées par leur environnement. Transposé dans le champ de l’informatique évolutive, ce principe soulève une question fondamentale : dans quelle mesure la complexité de l’environnement de simulation dicte-t-elle l’architecture corporelle d’une créature virtuelle évoluant par algorithme génétique ?</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Cet article présente une revue systématique de littérature (RSL) conduite selon le protocole Kitchenham &amp; Charters (2007), portant sur l’évolution morphologique de créatures virtuelles par algorithme génétique classique. La variable morphologie est explicitement isolée du comportement : aucun système de neuro-évolution (NEAT, HyperNEAT) n’est inclus dans le périmètre de la revue. Le moteur de recherche exclusif est Google Scholar, avec une stratégie de trois requêtes booléennes couvrant la période 1994–2025. Quatre études primaires (S1–S4) ont été sélectionnées et analysées selon cinq critères d’inclusion stricts (C1–C5) et six questions d’évaluation qualitative (QA1–QA6).</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Les résultats de la revue convergent vers trois conclusions principales. Premièrement, l’encodage direct paramétrique constitue la représentation génomique de référence pour l’évolution morphologique isolée. Deuxièmement, la fitness basée sur la distance de locomotion, complétée par des métriques de diversité morphologique, fournit un cadre de mesure robuste et comparatif. Troisièmement, et de manière centrale, les travaux d’Auerbach &amp; Bongard (2012) établissent expérimentalement qu’un environnement plus complexe produit des morphologies statistiquement plus élaborées et spécialisées.</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Sur la base de ces acquis, nous proposons une simulation en Python couplant un AG classique à un encodage direct du génome morphologique et un comportement fixe. Une même population initiale est soumise à deux environnements contrastés (plaine ouverte vs. parcours à obstacles), afin de démontrer visuellement et statistiquement la divergence morphologique induite par la pression sélective environnementale.</w:t>
      </w:r>
    </w:p>
    <w:p>
      <w:pPr>
        <w:spacing w:before="0" w:after="80" w:line="360" w:lineRule="auto"/>
      </w:pPr>
      <w:r>
        <w:t xml:space="preserve"/>
      </w:r>
    </w:p>
    <w:p>
      <w:pPr>
        <w:pStyle w:val="Heading1"/>
        <w:pBdr>
          <w:bottom w:val="single" w:color="000000" w:sz="8" w:space="4"/>
        </w:pBdr>
        <w:spacing w:before="360" w:after="180" w:line="360" w:lineRule="auto"/>
      </w:pPr>
      <w:r>
        <w:rPr>
          <w:rFonts w:ascii="Times New Roman" w:cs="Times New Roman" w:eastAsia="Times New Roman" w:hAnsi="Times New Roman"/>
          <w:b/>
          <w:bCs/>
          <w:color w:val="000000"/>
          <w:sz w:val="32"/>
          <w:szCs w:val="32"/>
        </w:rPr>
        <w:t xml:space="preserve">2. Méthodologie de sélection (SLR)</w:t>
      </w:r>
    </w:p>
    <w:p>
      <w:pPr>
        <w:pStyle w:val="Heading2"/>
        <w:spacing w:before="280" w:after="120" w:line="360" w:lineRule="auto"/>
      </w:pPr>
      <w:r>
        <w:rPr>
          <w:rFonts w:ascii="Times New Roman" w:cs="Times New Roman" w:eastAsia="Times New Roman" w:hAnsi="Times New Roman"/>
          <w:b/>
          <w:bCs/>
          <w:color w:val="1A1A1A"/>
          <w:sz w:val="26"/>
          <w:szCs w:val="26"/>
        </w:rPr>
        <w:t xml:space="preserve">2.1 Protocole général</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Nous avons suivi le protocole de revue systématique de littérature défini par Kitchenham &amp; Charters (2007), adapté au domaine de la simulation évolutive morphologique. Le moteur de recherche Google Scholar a été retenu comme source exclusive, pour sa couverture large des conférences ACM/IEEE en vie artificielle et robotique évolutive. Trois familles de requêtes booléennes ont été formulées : une requête large d’exploration, une requête ciblée sur les références clés, et une requête restreinte aux publications post-2021.</w:t>
      </w:r>
    </w:p>
    <w:p>
      <w:pPr>
        <w:pStyle w:val="Heading2"/>
        <w:spacing w:before="280" w:after="120" w:line="360" w:lineRule="auto"/>
      </w:pPr>
      <w:r>
        <w:rPr>
          <w:rFonts w:ascii="Times New Roman" w:cs="Times New Roman" w:eastAsia="Times New Roman" w:hAnsi="Times New Roman"/>
          <w:b/>
          <w:bCs/>
          <w:color w:val="1A1A1A"/>
          <w:sz w:val="26"/>
          <w:szCs w:val="26"/>
        </w:rPr>
        <w:t xml:space="preserve">2.2 Critères d’inclusion et d’exclusion (C1–C5)</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Cinq critères gouvernent la sélection des études primaires :</w:t>
      </w:r>
    </w:p>
    <w:p>
      <w:pPr>
        <w:spacing w:before="0" w:after="80" w:line="36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c>
          <w:tcPr>
            <w:tcW w:type="dxa" w:w="900"/>
            <w:tcBorders>
              <w:top w:val="single" w:color="BBBBBB" w:sz="4"/>
              <w:left w:val="single" w:color="BBBBBB" w:sz="4"/>
              <w:bottom w:val="single" w:color="BBBBBB" w:sz="4"/>
              <w:right w:val="single" w:color="BBBBBB" w:sz="4"/>
            </w:tcBorders>
            <w:shd w:fill="E8E8E8"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bCs/>
                <w:color w:val="000000"/>
                <w:sz w:val="20"/>
                <w:szCs w:val="20"/>
              </w:rPr>
              <w:t xml:space="preserve">Code</w:t>
            </w:r>
          </w:p>
        </w:tc>
        <w:tc>
          <w:tcPr>
            <w:tcW w:type="dxa" w:w="2200"/>
            <w:tcBorders>
              <w:top w:val="single" w:color="BBBBBB" w:sz="4"/>
              <w:left w:val="single" w:color="BBBBBB" w:sz="4"/>
              <w:bottom w:val="single" w:color="BBBBBB" w:sz="4"/>
              <w:right w:val="single" w:color="BBBBBB" w:sz="4"/>
            </w:tcBorders>
            <w:shd w:fill="E8E8E8"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bCs/>
                <w:color w:val="000000"/>
                <w:sz w:val="20"/>
                <w:szCs w:val="20"/>
              </w:rPr>
              <w:t xml:space="preserve">Critère</w:t>
            </w:r>
          </w:p>
        </w:tc>
        <w:tc>
          <w:tcPr>
            <w:tcW w:type="dxa" w:w="5926"/>
            <w:tcBorders>
              <w:top w:val="single" w:color="BBBBBB" w:sz="4"/>
              <w:left w:val="single" w:color="BBBBBB" w:sz="4"/>
              <w:bottom w:val="single" w:color="BBBBBB" w:sz="4"/>
              <w:right w:val="single" w:color="BBBBBB" w:sz="4"/>
            </w:tcBorders>
            <w:shd w:fill="E8E8E8"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bCs/>
                <w:color w:val="000000"/>
                <w:sz w:val="20"/>
                <w:szCs w:val="20"/>
              </w:rPr>
              <w:t xml:space="preserve">Description</w:t>
            </w:r>
          </w:p>
        </w:tc>
      </w:tr>
      <w:tr>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C1</w:t>
            </w:r>
          </w:p>
        </w:tc>
        <w:tc>
          <w:tcPr>
            <w:tcW w:type="dxa" w:w="2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Pertinence morphologique</w:t>
            </w:r>
          </w:p>
        </w:tc>
        <w:tc>
          <w:tcPr>
            <w:tcW w:type="dxa" w:w="5926"/>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L’étude doit porter explicitement sur l’évolution de la morphologie d’un agent simulé.</w:t>
            </w:r>
          </w:p>
        </w:tc>
      </w:tr>
      <w:tr>
        <w:tc>
          <w:tcPr>
            <w:tcW w:type="dxa" w:w="900"/>
            <w:tcBorders>
              <w:top w:val="single" w:color="BBBBBB" w:sz="4"/>
              <w:left w:val="single" w:color="BBBBBB" w:sz="4"/>
              <w:bottom w:val="single" w:color="BBBBBB" w:sz="4"/>
              <w:right w:val="single" w:color="BBBBBB" w:sz="4"/>
            </w:tcBorders>
            <w:shd w:fill="F9F9F9"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C2</w:t>
            </w:r>
          </w:p>
        </w:tc>
        <w:tc>
          <w:tcPr>
            <w:tcW w:type="dxa" w:w="2200"/>
            <w:tcBorders>
              <w:top w:val="single" w:color="BBBBBB" w:sz="4"/>
              <w:left w:val="single" w:color="BBBBBB" w:sz="4"/>
              <w:bottom w:val="single" w:color="BBBBBB" w:sz="4"/>
              <w:right w:val="single" w:color="BBBBBB" w:sz="4"/>
            </w:tcBorders>
            <w:shd w:fill="F9F9F9"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AG sans NEAT</w:t>
            </w:r>
          </w:p>
        </w:tc>
        <w:tc>
          <w:tcPr>
            <w:tcW w:type="dxa" w:w="5926"/>
            <w:tcBorders>
              <w:top w:val="single" w:color="BBBBBB" w:sz="4"/>
              <w:left w:val="single" w:color="BBBBBB" w:sz="4"/>
              <w:bottom w:val="single" w:color="BBBBBB" w:sz="4"/>
              <w:right w:val="single" w:color="BBBBBB" w:sz="4"/>
            </w:tcBorders>
            <w:shd w:fill="F9F9F9"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Algorithme génétique classique requis. Les études centrées sur la neuro-évolution sont exclues.</w:t>
            </w:r>
          </w:p>
        </w:tc>
      </w:tr>
      <w:tr>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C3</w:t>
            </w:r>
          </w:p>
        </w:tc>
        <w:tc>
          <w:tcPr>
            <w:tcW w:type="dxa" w:w="2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Rôle actif de l’environnement</w:t>
            </w:r>
          </w:p>
        </w:tc>
        <w:tc>
          <w:tcPr>
            <w:tcW w:type="dxa" w:w="5926"/>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Au moins deux conditions environnementales comparées, avec effet mesuré sur la morphologie.</w:t>
            </w:r>
          </w:p>
        </w:tc>
      </w:tr>
      <w:tr>
        <w:tc>
          <w:tcPr>
            <w:tcW w:type="dxa" w:w="900"/>
            <w:tcBorders>
              <w:top w:val="single" w:color="BBBBBB" w:sz="4"/>
              <w:left w:val="single" w:color="BBBBBB" w:sz="4"/>
              <w:bottom w:val="single" w:color="BBBBBB" w:sz="4"/>
              <w:right w:val="single" w:color="BBBBBB" w:sz="4"/>
            </w:tcBorders>
            <w:shd w:fill="F9F9F9"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C4</w:t>
            </w:r>
          </w:p>
        </w:tc>
        <w:tc>
          <w:tcPr>
            <w:tcW w:type="dxa" w:w="2200"/>
            <w:tcBorders>
              <w:top w:val="single" w:color="BBBBBB" w:sz="4"/>
              <w:left w:val="single" w:color="BBBBBB" w:sz="4"/>
              <w:bottom w:val="single" w:color="BBBBBB" w:sz="4"/>
              <w:right w:val="single" w:color="BBBBBB" w:sz="4"/>
            </w:tcBorders>
            <w:shd w:fill="F9F9F9"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Composante empirique</w:t>
            </w:r>
          </w:p>
        </w:tc>
        <w:tc>
          <w:tcPr>
            <w:tcW w:type="dxa" w:w="5926"/>
            <w:tcBorders>
              <w:top w:val="single" w:color="BBBBBB" w:sz="4"/>
              <w:left w:val="single" w:color="BBBBBB" w:sz="4"/>
              <w:bottom w:val="single" w:color="BBBBBB" w:sz="4"/>
              <w:right w:val="single" w:color="BBBBBB" w:sz="4"/>
            </w:tcBorders>
            <w:shd w:fill="F9F9F9"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Simulation avec résultats quantifiables (fitness, convergence, diversité). Les articles purement théoriques sont exclus.</w:t>
            </w:r>
          </w:p>
        </w:tc>
      </w:tr>
      <w:tr>
        <w:tc>
          <w:tcPr>
            <w:tcW w:type="dxa" w:w="9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C5</w:t>
            </w:r>
          </w:p>
        </w:tc>
        <w:tc>
          <w:tcPr>
            <w:tcW w:type="dxa" w:w="22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Accessibilité et langue</w:t>
            </w:r>
          </w:p>
        </w:tc>
        <w:tc>
          <w:tcPr>
            <w:tcW w:type="dxa" w:w="5926"/>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Texte intégral accessible en anglais via Google Scholar. Période : 1994–2025.</w:t>
            </w:r>
          </w:p>
        </w:tc>
      </w:tr>
    </w:tbl>
    <w:p>
      <w:pPr>
        <w:spacing w:before="0" w:after="80" w:line="360" w:lineRule="auto"/>
      </w:pPr>
      <w:r>
        <w:t xml:space="preserve"/>
      </w:r>
    </w:p>
    <w:p>
      <w:pPr>
        <w:pStyle w:val="Heading2"/>
        <w:spacing w:before="280" w:after="120" w:line="360" w:lineRule="auto"/>
      </w:pPr>
      <w:r>
        <w:rPr>
          <w:rFonts w:ascii="Times New Roman" w:cs="Times New Roman" w:eastAsia="Times New Roman" w:hAnsi="Times New Roman"/>
          <w:b/>
          <w:bCs/>
          <w:color w:val="1A1A1A"/>
          <w:sz w:val="26"/>
          <w:szCs w:val="26"/>
        </w:rPr>
        <w:t xml:space="preserve">2.3 Évaluation qualitative (QA1–QA6)</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Chaque étude retenue est évaluée sur six questions qualitatives (score Oui = 1 / Partiel = 0,5 / Non = 0, seuil minimum de rétention : 3/6) : (QA1) objectifs clairement définis ; (QA2) encodage morphologique décrit ; (QA3) environnement contrôlé ; (QA4) métriques de fitness explicitées ; (QA5) résultats comparatifs présentés ; (QA6) perspectives dégagées.</w:t>
      </w:r>
    </w:p>
    <w:p>
      <w:pPr>
        <w:pStyle w:val="Heading2"/>
        <w:spacing w:before="280" w:after="120" w:line="360" w:lineRule="auto"/>
      </w:pPr>
      <w:r>
        <w:rPr>
          <w:rFonts w:ascii="Times New Roman" w:cs="Times New Roman" w:eastAsia="Times New Roman" w:hAnsi="Times New Roman"/>
          <w:b/>
          <w:bCs/>
          <w:color w:val="1A1A1A"/>
          <w:sz w:val="26"/>
          <w:szCs w:val="26"/>
        </w:rPr>
        <w:t xml:space="preserve">2.4 Extraction des données</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Pour chaque étude primaire retenue, nous avons systématiquement extrait les champs suivants : référence APA complète, domaine de simulation, type d’environnement testé, encodage du génome morphologique, opérateurs génétiques utilisés, fonction de fitness, taille de population et nombre de générations, résultats morphologiques clés, métriques quantitatives, et lien avec les questions de recherche RQ1–RQ3. Ce protocole d’extraction structurée garantit la comparabilité des études et la traçabilité des conclusions.</w:t>
      </w:r>
    </w:p>
    <w:p>
      <w:pPr>
        <w:spacing w:before="0" w:after="80" w:line="360" w:lineRule="auto"/>
      </w:pPr>
      <w:r>
        <w:t xml:space="preserve"/>
      </w:r>
    </w:p>
    <w:p>
      <w:pPr>
        <w:pStyle w:val="Heading1"/>
        <w:pBdr>
          <w:bottom w:val="single" w:color="000000" w:sz="8" w:space="4"/>
        </w:pBdr>
        <w:spacing w:before="360" w:after="180" w:line="360" w:lineRule="auto"/>
      </w:pPr>
      <w:r>
        <w:rPr>
          <w:rFonts w:ascii="Times New Roman" w:cs="Times New Roman" w:eastAsia="Times New Roman" w:hAnsi="Times New Roman"/>
          <w:b/>
          <w:bCs/>
          <w:color w:val="000000"/>
          <w:sz w:val="32"/>
          <w:szCs w:val="32"/>
        </w:rPr>
        <w:t xml:space="preserve">3. Réponses aux questions de recherche (RQ)</w:t>
      </w:r>
    </w:p>
    <w:p>
      <w:pPr>
        <w:pStyle w:val="Heading2"/>
        <w:spacing w:before="280" w:after="120" w:line="360" w:lineRule="auto"/>
      </w:pPr>
      <w:r>
        <w:rPr>
          <w:rFonts w:ascii="Times New Roman" w:cs="Times New Roman" w:eastAsia="Times New Roman" w:hAnsi="Times New Roman"/>
          <w:b/>
          <w:bCs/>
          <w:color w:val="1A1A1A"/>
          <w:sz w:val="26"/>
          <w:szCs w:val="26"/>
        </w:rPr>
        <w:t xml:space="preserve">3.1 RQ1 — Quels encodages génomiques sont les plus efficaces pour représenter la morphologie ?</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Les quatre études retenues convergent vers l’encodage direct comme représentation privilégiée du génome morphologique. Funes &amp; Pollack (1998) introduisent l’encodage direct arborescent — chaque gène correspond à un paramètre physique précis (longueur, masse, orientation d’un segment) — et démontrent que cet espace de recherche, malgré sa simplicité, produit des solutions créatives et fonctionnelles. Auerbach &amp; Bongard (2012) reprennent ce paradigme en y adjoignant un contrôleur oscillateur fixe, confirmant que l’encodage direct seul suffit à faire émerger des morphologies adaptées. Moore &amp; McKinley (2012) enrichissent cet encodage avec des paramètres articulaires (rigidité, amplitude des joints), élargissant l’espace de recherche sans introduire de complexité comportementale. Nordmoen et al. (2021), en adoptant un encodage modulaire contraint, montrent qu’une représentation plus structurée peut explorer la diversité morphologique différemment, au prix d’une expressivité réduite.</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Le consensus se dégage clairement : pour isoler la variable morphologie du comportement, l’encodage direct paramétrique est le choix scientifiquement le plus rigoureux, le mieux documenté, et le plus adapté à un protocole comparatif inter-environnements. Les encodages indirects (L-systèmes, réseaux de développement génétique) permettent de capturer symétries et motifs récurrents mais introduisent des variables confondantes incompatibles avec notre objectif d’isolation.</w:t>
      </w:r>
    </w:p>
    <w:p>
      <w:pPr>
        <w:spacing w:before="0" w:after="80" w:line="360" w:lineRule="auto"/>
      </w:pPr>
      <w:r>
        <w:t xml:space="preserve"/>
      </w:r>
    </w:p>
    <w:p>
      <w:pPr>
        <w:pStyle w:val="Heading2"/>
        <w:spacing w:before="280" w:after="120" w:line="360" w:lineRule="auto"/>
      </w:pPr>
      <w:r>
        <w:rPr>
          <w:rFonts w:ascii="Times New Roman" w:cs="Times New Roman" w:eastAsia="Times New Roman" w:hAnsi="Times New Roman"/>
          <w:b/>
          <w:bCs/>
          <w:color w:val="1A1A1A"/>
          <w:sz w:val="26"/>
          <w:szCs w:val="26"/>
        </w:rPr>
        <w:t xml:space="preserve">3.2 RQ2 — Comment mesurer l’adaptation morphologique entre deux environnements distincts ?</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La diversité des métriques de fitness employées dans les études sélectionnées réflète la multiplicité des objectifs d’adaptation. Funes &amp; Pollack (1998) et Auerbach &amp; Bongard (2012) utilisent tous deux la distance de locomotion parcourue sur un intervalle de temps fixe comme proxy de la performance morphologique — métrique simple, directement liée à la survie en milieu ouvert. Moore &amp; McKinley (2012) introduisent une fitness composite intégrant vitesse et stabilité mécanique des articulations, permettant de capturer l’adaptation à des substrats de nature différente. Nordmoen et al. (2021) innovent avec des métriques de qualité-diversité (QD-score, coverage) qui mesurent non la performance individuelle mais la richesse du répertoire morphologique exploré.</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Pour notre simulation, nous adoptons une fitness basée sur la distance de locomotion pour l’environnement plaine, avec un ajustement pondéré intégrant le franchissement et la stabilité pour l’environnement à obstacles. Les métriques de diversité de Nordmoen et al. servent d’indicateurs statistiques complémentaires pour comparer les deux populations finales et quantifier la divergence morphologique induite par l’environnement.</w:t>
      </w:r>
    </w:p>
    <w:p>
      <w:pPr>
        <w:spacing w:before="0" w:after="80" w:line="360" w:lineRule="auto"/>
      </w:pPr>
      <w:r>
        <w:t xml:space="preserve"/>
      </w:r>
    </w:p>
    <w:p>
      <w:pPr>
        <w:pStyle w:val="Heading2"/>
        <w:spacing w:before="280" w:after="120" w:line="360" w:lineRule="auto"/>
      </w:pPr>
      <w:r>
        <w:rPr>
          <w:rFonts w:ascii="Times New Roman" w:cs="Times New Roman" w:eastAsia="Times New Roman" w:hAnsi="Times New Roman"/>
          <w:b/>
          <w:bCs/>
          <w:color w:val="1A1A1A"/>
          <w:sz w:val="26"/>
          <w:szCs w:val="26"/>
        </w:rPr>
        <w:t xml:space="preserve">3.3 RQ3 — Dans quelle mesure la complexité de l’environnement oriente-t-elle la convergence morphologique ?</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L’effet de la complexité environnementale sur la convergence morphologique est le résultat le plus saillant de cette revue, et il est établi de manière convergente par les études retenues. Auerbach &amp; Bongard (2012) — l’étude pivot — démontrent directement que des environnements plus riches en contraintes produisent des morphologies statistiquement plus complexes et spécialisées, tandis qu’un milieu uniforme converge vers des corps plus simples et génériques. Moore &amp; McKinley (2012) confirment cette logique à l’échelle des articulations : les substrats mous sélectionnent des joints flexibles, là où les surfaces dures favorisent la rigidité. Funes &amp; Pollack (1998), bien qu’opérant sur un environnement unique, fournissent la preuve de concept que l’environnement oriente fortement la morphologie émergente. Nordmoen et al. (2021) montrent en outre que la diversité morphologique pré-acquise facilite l’adaptation rapide à de nouveaux environnements.</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Ces résultats convergent vers une réponse affirmative à RQ3 : la complexité environnementale accélère la spécialisation morphologique et oriente la convergence vers des architectures corporelles fonctionnellement plus élaborées. Cette conclusion valide l’hypothèse centrale de notre projet et justifie le protocole comparatif retenu.</w:t>
      </w:r>
    </w:p>
    <w:p>
      <w:pPr>
        <w:spacing w:before="0" w:after="80" w:line="360" w:lineRule="auto"/>
      </w:pPr>
      <w:r>
        <w:t xml:space="preserve"/>
      </w:r>
    </w:p>
    <w:p>
      <w:pPr>
        <w:pStyle w:val="Heading1"/>
        <w:pBdr>
          <w:bottom w:val="single" w:color="000000" w:sz="8" w:space="4"/>
        </w:pBdr>
        <w:spacing w:before="360" w:after="180" w:line="360" w:lineRule="auto"/>
      </w:pPr>
      <w:r>
        <w:rPr>
          <w:rFonts w:ascii="Times New Roman" w:cs="Times New Roman" w:eastAsia="Times New Roman" w:hAnsi="Times New Roman"/>
          <w:b/>
          <w:bCs/>
          <w:color w:val="000000"/>
          <w:sz w:val="32"/>
          <w:szCs w:val="32"/>
        </w:rPr>
        <w:t xml:space="preserve">État de l’art &amp; évolution du domaine</w:t>
      </w:r>
    </w:p>
    <w:p>
      <w:pPr>
        <w:pStyle w:val="Heading2"/>
        <w:spacing w:before="280" w:after="120" w:line="360" w:lineRule="auto"/>
      </w:pPr>
      <w:r>
        <w:rPr>
          <w:rFonts w:ascii="Times New Roman" w:cs="Times New Roman" w:eastAsia="Times New Roman" w:hAnsi="Times New Roman"/>
          <w:b/>
          <w:bCs/>
          <w:color w:val="1A1A1A"/>
          <w:sz w:val="26"/>
          <w:szCs w:val="26"/>
        </w:rPr>
        <w:t xml:space="preserve">4.1 Les fondations : Sims (1994) et la naissance de la morphologie artificielle</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Le champ de l’évolution morphologique artificielle prend naissance avec les travaux fondateurs de Karl Sims (1994). En simulant des créatures virtuelles dans un environnement physique et en faisant évoluer simultanément leur morphologie et leur système de contrôle, Sims démontre qu’un algorithme évolutionnaire peut générer, sans intervention humaine, des comportements locomoteurs complexes et variés — reptation, nage, marche quadrupède. Ce travail pose deux principes fondateurs qui structurent l’ensemble des recherches ultérieures : la représentabilité d’un corps dans un génome numérique, et la co-émergence de la forme et du mouvement sous pression sélective. La limite principale de cette approche pionnière est précisément ce couplage corps-cerveau : il devient impossible d’attribuer causalement les adaptations observées à la seule morphologie.</w:t>
      </w:r>
    </w:p>
    <w:p>
      <w:pPr>
        <w:pStyle w:val="Heading2"/>
        <w:spacing w:before="280" w:after="120" w:line="360" w:lineRule="auto"/>
      </w:pPr>
      <w:r>
        <w:rPr>
          <w:rFonts w:ascii="Times New Roman" w:cs="Times New Roman" w:eastAsia="Times New Roman" w:hAnsi="Times New Roman"/>
          <w:b/>
          <w:bCs/>
          <w:color w:val="1A1A1A"/>
          <w:sz w:val="26"/>
          <w:szCs w:val="26"/>
        </w:rPr>
        <w:t xml:space="preserve">4.2 Isolation de la morphologie : Funes &amp; Pollack (1998) — S2</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Funes &amp; Pollack (1998) constituent la première étape vers l’isolation de la variable morphologique. En appliquant un algorithme génétique classique à un génome morphologique arborescent — où chaque gène encode un paramètre physique précis — ils démontrent l’émergence de solutions morphologiques inattendues et fonctionnelles dans un environnement plan uniforme. Ce travail confirme la faisabilité de l’évolution morphologique isolée et fournit les bases conceptuelles et techniques de l’encodage direct. Sa limite centrale reste l’absence de variation environnementale : l’environnement est fixe et neutre, ce qui empêche toute analyse de l’influence du milieu.</w:t>
      </w:r>
    </w:p>
    <w:p>
      <w:pPr>
        <w:pStyle w:val="Heading2"/>
        <w:spacing w:before="280" w:after="120" w:line="360" w:lineRule="auto"/>
      </w:pPr>
      <w:r>
        <w:rPr>
          <w:rFonts w:ascii="Times New Roman" w:cs="Times New Roman" w:eastAsia="Times New Roman" w:hAnsi="Times New Roman"/>
          <w:b/>
          <w:bCs/>
          <w:color w:val="1A1A1A"/>
          <w:sz w:val="26"/>
          <w:szCs w:val="26"/>
        </w:rPr>
        <w:t xml:space="preserve">4.3 La dimension articulaire : Moore &amp; McKinley (2012) — S3</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Moore &amp; McKinley (2012) étendent le paradigme de l’encodage direct en intégrant dans le génome des paramètres articulaires — rigidité, amplitude et amortissement des joints. Leurs expériences sur plusieurs types de substrats (sol dur, sol mou, eau) démontrent que les articulations s’adaptent spécifiquement aux propriétés mécaniques de l’environnement : les joints flexibles confèrent un avantage sur les surfaces déformables, les joints rigides sur les surfaces dures. Ce travail enrichit considérablement l’espace de recherche morphologique et confirme que l’environnement, même réduit à ses propriétés physiques de base, oriente significativement l’architecture corporelle émerge.</w:t>
      </w:r>
    </w:p>
    <w:p>
      <w:pPr>
        <w:pStyle w:val="Heading2"/>
        <w:spacing w:before="280" w:after="120" w:line="360" w:lineRule="auto"/>
      </w:pPr>
      <w:r>
        <w:rPr>
          <w:rFonts w:ascii="Times New Roman" w:cs="Times New Roman" w:eastAsia="Times New Roman" w:hAnsi="Times New Roman"/>
          <w:b/>
          <w:bCs/>
          <w:color w:val="1A1A1A"/>
          <w:sz w:val="26"/>
          <w:szCs w:val="26"/>
        </w:rPr>
        <w:t xml:space="preserve">4.4 Lien direct entre environnement et morphologie : Auerbach &amp; Bongard (2012) — S1</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Auerbach &amp; Bongard (2012) représentent l’étude pivot de cette revue. Ils étudient systématiquement le lien entre la complexité de l’environnement et la complexité morphologique de robots simulés soumis à une pression sélective évolutive. En comparant plusieurs niveaux de complexité environnementale sur une même population initiale, ils confirment expérimentalement la corrélation entre richesse du milieu et élaboration du corps émergé. Leur protocole comparatif, qui maintient fixes toutes les variables sauf l’environnement, est directement réemployé dans notre projet. Leur limite principale est l’ancienneté des outils de simulation utilisés.</w:t>
      </w:r>
    </w:p>
    <w:p>
      <w:pPr>
        <w:pStyle w:val="Heading2"/>
        <w:spacing w:before="280" w:after="120" w:line="360" w:lineRule="auto"/>
      </w:pPr>
      <w:r>
        <w:rPr>
          <w:rFonts w:ascii="Times New Roman" w:cs="Times New Roman" w:eastAsia="Times New Roman" w:hAnsi="Times New Roman"/>
          <w:b/>
          <w:bCs/>
          <w:color w:val="1A1A1A"/>
          <w:sz w:val="26"/>
          <w:szCs w:val="26"/>
        </w:rPr>
        <w:t xml:space="preserve">4.5 Diversité morphologique et quality-diversity : Nordmoen et al. (2021) — S4</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Nordmoen et al. (2021) apportent la contribution la plus récente de la revue. En appliquant l’algorithme MAP-Elites à des robots modulaires, ils démontrent que l’exploration active de la diversité morphologique produit des répertoires de solutions plus robustes et plus adaptables que la simple convergence vers un optimum unique. Ce résultat prédit que les populations évoluées dans des environnements complexes — forcées de maintenir une plus grande diversité morphologique — seront plus plastiques lors d’un transfert vers de nouveaux milieux. Ils introduisent également des métriques (QD-score, coverage) directement réutilisables pour l’analyse comparative de nos deux populations.</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La trajectoire de ce champ de 1994 à 2021 décrit une progression cohérente : de la co-évolution corps-cerveau (Sims), vers l’isolation progressive de la morphologie (Funes, Moore), vers la confirmation de l’effet environnemental (Auerbach), vers la mesure de la diversité induite (Nordmoen). Notre simulation s’inscrit dans ce continuum en apportant un protocole comparatif strict, un encodage direct pur, et une démonstration visuelle et statistique.</w:t>
      </w:r>
    </w:p>
    <w:p>
      <w:pPr>
        <w:spacing w:before="0" w:after="80" w:line="360" w:lineRule="auto"/>
      </w:pPr>
      <w:r>
        <w:t xml:space="preserve"/>
      </w:r>
    </w:p>
    <w:p>
      <w:pPr>
        <w:pStyle w:val="Heading1"/>
        <w:pBdr>
          <w:bottom w:val="single" w:color="000000" w:sz="8" w:space="4"/>
        </w:pBdr>
        <w:spacing w:before="360" w:after="180" w:line="360" w:lineRule="auto"/>
      </w:pPr>
      <w:r>
        <w:rPr>
          <w:rFonts w:ascii="Times New Roman" w:cs="Times New Roman" w:eastAsia="Times New Roman" w:hAnsi="Times New Roman"/>
          <w:b/>
          <w:bCs/>
          <w:color w:val="000000"/>
          <w:sz w:val="32"/>
          <w:szCs w:val="32"/>
        </w:rPr>
        <w:t xml:space="preserve">5. Partie technique &amp; choix de la solution</w:t>
      </w:r>
    </w:p>
    <w:p>
      <w:pPr>
        <w:pStyle w:val="Heading2"/>
        <w:spacing w:before="280" w:after="120" w:line="360" w:lineRule="auto"/>
      </w:pPr>
      <w:r>
        <w:rPr>
          <w:rFonts w:ascii="Times New Roman" w:cs="Times New Roman" w:eastAsia="Times New Roman" w:hAnsi="Times New Roman"/>
          <w:b/>
          <w:bCs/>
          <w:color w:val="1A1A1A"/>
          <w:sz w:val="26"/>
          <w:szCs w:val="26"/>
        </w:rPr>
        <w:t xml:space="preserve">5.1 Architecture générale de la simulation</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La solution retenue pour répondre expérimentalement à la problématique repose sur une simulation Python couplant un moteur physique 2D/3D et un algorithme génétique classique. L’architecture est structurée en trois couches : (1) le génome morphologique, encodant la structure corporelle de chaque individu ; (2) le moteur de simulation physique, évaluant la performance de chaque individu dans son environnement ; (3) l’algorithme génétique, opérant la sélection, le croisement et la mutation sur la population.</w:t>
      </w:r>
    </w:p>
    <w:p>
      <w:pPr>
        <w:pStyle w:val="Heading2"/>
        <w:spacing w:before="280" w:after="120" w:line="360" w:lineRule="auto"/>
      </w:pPr>
      <w:r>
        <w:rPr>
          <w:rFonts w:ascii="Times New Roman" w:cs="Times New Roman" w:eastAsia="Times New Roman" w:hAnsi="Times New Roman"/>
          <w:b/>
          <w:bCs/>
          <w:color w:val="1A1A1A"/>
          <w:sz w:val="26"/>
          <w:szCs w:val="26"/>
        </w:rPr>
        <w:t xml:space="preserve">5.2 Encodage direct du génome morphologique</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Conformément aux conclusions de la revue (RQ1), nous adoptons un encodage direct paramétrique. Chaque individu est représenté par un vecteur de gènes réels encodant les paramètres morphologiques suivants : nombre de segments corporels, longueur et largeur de chaque segment, angle d’articulation entre segments adjacents, et masse de chaque composant. Ce choix isole proprement la variable morphologie : le comportement est soit fixe (oscillateur périodique pré-paramétré), soit simplifié au minimum nécessaire pour permettre la locomotion. Toute différence morphologique observée entre les deux populations finales est ainsi causalement attribuable à la pression de l’environnement.</w:t>
      </w:r>
    </w:p>
    <w:p>
      <w:pPr>
        <w:pStyle w:val="Heading2"/>
        <w:spacing w:before="280" w:after="120" w:line="360" w:lineRule="auto"/>
      </w:pPr>
      <w:r>
        <w:rPr>
          <w:rFonts w:ascii="Times New Roman" w:cs="Times New Roman" w:eastAsia="Times New Roman" w:hAnsi="Times New Roman"/>
          <w:b/>
          <w:bCs/>
          <w:color w:val="1A1A1A"/>
          <w:sz w:val="26"/>
          <w:szCs w:val="26"/>
        </w:rPr>
        <w:t xml:space="preserve">5.3 Algorithme génétique classique</w:t>
      </w:r>
    </w:p>
    <w:p>
      <w:pPr>
        <w:pBdr>
          <w:left w:val="single" w:color="BBBBBB" w:sz="12" w:space="6"/>
        </w:pBdr>
        <w:spacing w:before="80" w:after="80" w:line="360" w:lineRule="auto"/>
        <w:ind w:left="720"/>
      </w:pPr>
      <w:r>
        <w:rPr>
          <w:rFonts w:ascii="Times New Roman" w:cs="Times New Roman" w:eastAsia="Times New Roman" w:hAnsi="Times New Roman"/>
          <w:color w:val="888888"/>
          <w:sz w:val="22"/>
          <w:szCs w:val="22"/>
        </w:rPr>
        <w:t xml:space="preserve">[À compléter — Décrire les paramètres de l’AG : taille de population, nombre de générations, taux de mutation, taux de croisement, méthode de sélection (tournoi, roulette, élitisme)]</w:t>
      </w:r>
    </w:p>
    <w:p>
      <w:pPr>
        <w:pStyle w:val="Heading2"/>
        <w:spacing w:before="280" w:after="120" w:line="360" w:lineRule="auto"/>
      </w:pPr>
      <w:r>
        <w:rPr>
          <w:rFonts w:ascii="Times New Roman" w:cs="Times New Roman" w:eastAsia="Times New Roman" w:hAnsi="Times New Roman"/>
          <w:b/>
          <w:bCs/>
          <w:color w:val="1A1A1A"/>
          <w:sz w:val="26"/>
          <w:szCs w:val="26"/>
        </w:rPr>
        <w:t xml:space="preserve">5.4 Protocole comparatif : deux environnements contrastés</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Le protocole expérimental central soumet une même population initiale générée aléatoirement à deux environnements distincts en exécutions parallèles indépendantes :</w:t>
      </w:r>
    </w:p>
    <w:p>
      <w:pPr>
        <w:spacing w:before="0" w:after="160" w:line="360" w:lineRule="auto"/>
        <w:ind w:left="720"/>
        <w:jc w:val="both"/>
      </w:pPr>
      <w:r>
        <w:rPr>
          <w:rFonts w:ascii="Times New Roman" w:cs="Times New Roman" w:eastAsia="Times New Roman" w:hAnsi="Times New Roman"/>
          <w:b w:val="false"/>
          <w:bCs w:val="false"/>
          <w:color w:val="000000"/>
          <w:sz w:val="22"/>
          <w:szCs w:val="22"/>
        </w:rPr>
        <w:t xml:space="preserve">Environnement A — Plaine ouverte : surface plane, uniforme, sans obstacle. La pression sélective est minimale ; la fitness favorise la vitesse de locomotion sur une distance maximale.</w:t>
      </w:r>
    </w:p>
    <w:p>
      <w:pPr>
        <w:spacing w:before="0" w:after="160" w:line="360" w:lineRule="auto"/>
        <w:ind w:left="720"/>
        <w:jc w:val="both"/>
      </w:pPr>
      <w:r>
        <w:rPr>
          <w:rFonts w:ascii="Times New Roman" w:cs="Times New Roman" w:eastAsia="Times New Roman" w:hAnsi="Times New Roman"/>
          <w:b w:val="false"/>
          <w:bCs w:val="false"/>
          <w:color w:val="000000"/>
          <w:sz w:val="22"/>
          <w:szCs w:val="22"/>
        </w:rPr>
        <w:t xml:space="preserve">Environnement B — Parcours à obstacles : surface plane avec obstacles de hauteur variable disposés aléatoirement. La pression sélective est plus forte ; la fitness pondère distance parcourue, nombre d’obstacles franchis et stabilité de locomotion.</w:t>
      </w:r>
    </w:p>
    <w:p>
      <w:pPr>
        <w:pBdr>
          <w:left w:val="single" w:color="BBBBBB" w:sz="12" w:space="6"/>
        </w:pBdr>
        <w:spacing w:before="80" w:after="80" w:line="360" w:lineRule="auto"/>
        <w:ind w:left="720"/>
      </w:pPr>
      <w:r>
        <w:rPr>
          <w:rFonts w:ascii="Times New Roman" w:cs="Times New Roman" w:eastAsia="Times New Roman" w:hAnsi="Times New Roman"/>
          <w:color w:val="888888"/>
          <w:sz w:val="22"/>
          <w:szCs w:val="22"/>
        </w:rPr>
        <w:t xml:space="preserve">[À compléter — Décrire les paramètres précis des environnements : dimensions, densité des obstacles, hauteur moyenne, moteur physique utilisé]</w:t>
      </w:r>
    </w:p>
    <w:p>
      <w:pPr>
        <w:pStyle w:val="Heading2"/>
        <w:spacing w:before="280" w:after="120" w:line="360" w:lineRule="auto"/>
      </w:pPr>
      <w:r>
        <w:rPr>
          <w:rFonts w:ascii="Times New Roman" w:cs="Times New Roman" w:eastAsia="Times New Roman" w:hAnsi="Times New Roman"/>
          <w:b/>
          <w:bCs/>
          <w:color w:val="1A1A1A"/>
          <w:sz w:val="26"/>
          <w:szCs w:val="26"/>
        </w:rPr>
        <w:t xml:space="preserve">5.5 Définition des fonctions de fitness</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Conformément aux conclusions de la revue (RQ2), nous définissons les fonctions de fitness suivantes :</w:t>
      </w:r>
    </w:p>
    <w:p>
      <w:pPr>
        <w:spacing w:before="0" w:after="80" w:line="36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BBBBB" w:sz="4"/>
              <w:left w:val="single" w:color="BBBBBB" w:sz="4"/>
              <w:bottom w:val="single" w:color="BBBBBB" w:sz="4"/>
              <w:right w:val="single" w:color="BBBBBB" w:sz="4"/>
            </w:tcBorders>
            <w:shd w:fill="E8E8E8"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bCs/>
                <w:color w:val="000000"/>
                <w:sz w:val="20"/>
                <w:szCs w:val="20"/>
              </w:rPr>
              <w:t xml:space="preserve">Environnement</w:t>
            </w:r>
          </w:p>
        </w:tc>
        <w:tc>
          <w:tcPr>
            <w:tcW w:type="dxa" w:w="3513"/>
            <w:tcBorders>
              <w:top w:val="single" w:color="BBBBBB" w:sz="4"/>
              <w:left w:val="single" w:color="BBBBBB" w:sz="4"/>
              <w:bottom w:val="single" w:color="BBBBBB" w:sz="4"/>
              <w:right w:val="single" w:color="BBBBBB" w:sz="4"/>
            </w:tcBorders>
            <w:shd w:fill="E8E8E8"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bCs/>
                <w:color w:val="000000"/>
                <w:sz w:val="20"/>
                <w:szCs w:val="20"/>
              </w:rPr>
              <w:t xml:space="preserve">Composantes de la fitness</w:t>
            </w:r>
          </w:p>
        </w:tc>
        <w:tc>
          <w:tcPr>
            <w:tcW w:type="dxa" w:w="3513"/>
            <w:tcBorders>
              <w:top w:val="single" w:color="BBBBBB" w:sz="4"/>
              <w:left w:val="single" w:color="BBBBBB" w:sz="4"/>
              <w:bottom w:val="single" w:color="BBBBBB" w:sz="4"/>
              <w:right w:val="single" w:color="BBBBBB" w:sz="4"/>
            </w:tcBorders>
            <w:shd w:fill="E8E8E8"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bCs/>
                <w:color w:val="000000"/>
                <w:sz w:val="20"/>
                <w:szCs w:val="20"/>
              </w:rPr>
              <w:t xml:space="preserve">Pondération</w:t>
            </w:r>
          </w:p>
        </w:tc>
      </w:tr>
      <w:tr>
        <w:tc>
          <w:tcPr>
            <w:tcW w:type="dxa" w:w="2000"/>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A — Plaine</w:t>
            </w:r>
          </w:p>
        </w:tc>
        <w:tc>
          <w:tcPr>
            <w:tcW w:type="dxa" w:w="3513"/>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Distance de locomotion maximale</w:t>
            </w:r>
          </w:p>
        </w:tc>
        <w:tc>
          <w:tcPr>
            <w:tcW w:type="dxa" w:w="3513"/>
            <w:tcBorders>
              <w:top w:val="single" w:color="BBBBBB" w:sz="4"/>
              <w:left w:val="single" w:color="BBBBBB" w:sz="4"/>
              <w:bottom w:val="single" w:color="BBBBBB" w:sz="4"/>
              <w:right w:val="single" w:color="BBBBBB" w:sz="4"/>
            </w:tcBorders>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À compléter</w:t>
            </w:r>
          </w:p>
        </w:tc>
      </w:tr>
      <w:tr>
        <w:tc>
          <w:tcPr>
            <w:tcW w:type="dxa" w:w="2000"/>
            <w:tcBorders>
              <w:top w:val="single" w:color="BBBBBB" w:sz="4"/>
              <w:left w:val="single" w:color="BBBBBB" w:sz="4"/>
              <w:bottom w:val="single" w:color="BBBBBB" w:sz="4"/>
              <w:right w:val="single" w:color="BBBBBB" w:sz="4"/>
            </w:tcBorders>
            <w:shd w:fill="F9F9F9"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B — Obstacles</w:t>
            </w:r>
          </w:p>
        </w:tc>
        <w:tc>
          <w:tcPr>
            <w:tcW w:type="dxa" w:w="3513"/>
            <w:tcBorders>
              <w:top w:val="single" w:color="BBBBBB" w:sz="4"/>
              <w:left w:val="single" w:color="BBBBBB" w:sz="4"/>
              <w:bottom w:val="single" w:color="BBBBBB" w:sz="4"/>
              <w:right w:val="single" w:color="BBBBBB" w:sz="4"/>
            </w:tcBorders>
            <w:shd w:fill="F9F9F9"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Distance + franchissement + stabilité</w:t>
            </w:r>
          </w:p>
        </w:tc>
        <w:tc>
          <w:tcPr>
            <w:tcW w:type="dxa" w:w="3513"/>
            <w:tcBorders>
              <w:top w:val="single" w:color="BBBBBB" w:sz="4"/>
              <w:left w:val="single" w:color="BBBBBB" w:sz="4"/>
              <w:bottom w:val="single" w:color="BBBBBB" w:sz="4"/>
              <w:right w:val="single" w:color="BBBBBB" w:sz="4"/>
            </w:tcBorders>
            <w:shd w:fill="F9F9F9" w:val="clear"/>
            <w:tcMar>
              <w:top w:type="dxa" w:w="80"/>
              <w:left w:type="dxa" w:w="160"/>
              <w:bottom w:type="dxa" w:w="80"/>
              <w:right w:type="dxa" w:w="160"/>
            </w:tcMar>
          </w:tcPr>
          <w:p>
            <w:pPr>
              <w:spacing w:before="0" w:after="0" w:line="360" w:lineRule="auto"/>
            </w:pPr>
            <w:r>
              <w:rPr>
                <w:rFonts w:ascii="Times New Roman" w:cs="Times New Roman" w:eastAsia="Times New Roman" w:hAnsi="Times New Roman"/>
                <w:b w:val="false"/>
                <w:bCs w:val="false"/>
                <w:color w:val="000000"/>
                <w:sz w:val="20"/>
                <w:szCs w:val="20"/>
              </w:rPr>
              <w:t xml:space="preserve">À compléter</w:t>
            </w:r>
          </w:p>
        </w:tc>
      </w:tr>
    </w:tbl>
    <w:p>
      <w:pPr>
        <w:spacing w:before="0" w:after="80" w:line="360" w:lineRule="auto"/>
      </w:pPr>
      <w:r>
        <w:t xml:space="preserve"/>
      </w:r>
    </w:p>
    <w:p>
      <w:pPr>
        <w:spacing w:before="80" w:after="80" w:line="360" w:lineRule="auto"/>
      </w:pPr>
      <w:r>
        <w:rPr>
          <w:rFonts w:ascii="Times New Roman" w:cs="Times New Roman" w:eastAsia="Times New Roman" w:hAnsi="Times New Roman"/>
          <w:color w:val="444444"/>
          <w:sz w:val="20"/>
          <w:szCs w:val="20"/>
        </w:rPr>
        <w:t xml:space="preserve">Note : les pondérations seront calibrées après une phase de tests préliminaires sur la simulation.</w:t>
      </w:r>
    </w:p>
    <w:p>
      <w:pPr>
        <w:spacing w:before="0" w:after="80" w:line="360" w:lineRule="auto"/>
      </w:pPr>
      <w:r>
        <w:t xml:space="preserve"/>
      </w:r>
    </w:p>
    <w:p>
      <w:pPr>
        <w:pStyle w:val="Heading1"/>
        <w:pBdr>
          <w:bottom w:val="single" w:color="000000" w:sz="8" w:space="4"/>
        </w:pBdr>
        <w:spacing w:before="360" w:after="180" w:line="360" w:lineRule="auto"/>
      </w:pPr>
      <w:r>
        <w:rPr>
          <w:rFonts w:ascii="Times New Roman" w:cs="Times New Roman" w:eastAsia="Times New Roman" w:hAnsi="Times New Roman"/>
          <w:b/>
          <w:bCs/>
          <w:color w:val="000000"/>
          <w:sz w:val="32"/>
          <w:szCs w:val="32"/>
        </w:rPr>
        <w:t xml:space="preserve">6. Conclusion &amp; perspectives</w:t>
      </w:r>
    </w:p>
    <w:p>
      <w:pPr>
        <w:pStyle w:val="Heading2"/>
        <w:spacing w:before="280" w:after="120" w:line="360" w:lineRule="auto"/>
      </w:pPr>
      <w:r>
        <w:rPr>
          <w:rFonts w:ascii="Times New Roman" w:cs="Times New Roman" w:eastAsia="Times New Roman" w:hAnsi="Times New Roman"/>
          <w:b/>
          <w:bCs/>
          <w:color w:val="1A1A1A"/>
          <w:sz w:val="26"/>
          <w:szCs w:val="26"/>
        </w:rPr>
        <w:t xml:space="preserve">6.1 Réponse à la question principale</w:t>
      </w:r>
    </w:p>
    <w:p>
      <w:pPr>
        <w:pBdr>
          <w:left w:val="single" w:color="BBBBBB" w:sz="12" w:space="6"/>
        </w:pBdr>
        <w:spacing w:before="80" w:after="80" w:line="360" w:lineRule="auto"/>
        <w:ind w:left="720"/>
      </w:pPr>
      <w:r>
        <w:rPr>
          <w:rFonts w:ascii="Times New Roman" w:cs="Times New Roman" w:eastAsia="Times New Roman" w:hAnsi="Times New Roman"/>
          <w:color w:val="888888"/>
          <w:sz w:val="22"/>
          <w:szCs w:val="22"/>
        </w:rPr>
        <w:t xml:space="preserve">[À compléter — Rédiger après exécution de la simulation : l’environnement dicte-t-il la forme ? Comparer les morphologies finales des deux populations (plaine vs obstacles), présenter les statistiques de divergence (diversité morphologique, fitness moyenne, complexité des génomes), et illustrer avec captures d’écran des créatures évoluées]</w:t>
      </w:r>
    </w:p>
    <w:p>
      <w:pPr>
        <w:pStyle w:val="Heading2"/>
        <w:spacing w:before="280" w:after="120" w:line="360" w:lineRule="auto"/>
      </w:pPr>
      <w:r>
        <w:rPr>
          <w:rFonts w:ascii="Times New Roman" w:cs="Times New Roman" w:eastAsia="Times New Roman" w:hAnsi="Times New Roman"/>
          <w:b/>
          <w:bCs/>
          <w:color w:val="1A1A1A"/>
          <w:sz w:val="26"/>
          <w:szCs w:val="26"/>
        </w:rPr>
        <w:t xml:space="preserve">6.2 Acquis de la revue systématique</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Indépendamment des résultats expérimentaux à venir, cette revue systématique établit trois acquis solides. Premièrement, la faisabilité de l’évolution morphologique isolée par AG est démontrée depuis 1998 et constamment confirmée. Deuxièmement, l’effet de l’environnement sur la morphologie est expérimentalement établi (Auerbach &amp; Bongard, 2012) — notre simulation vise à le reproduire et l’enrichir. Troisièmement, des métriques robustes existent pour quantifier et comparer les résultats, garantissant la rigueur scientifique de notre analyse comparative.</w:t>
      </w:r>
    </w:p>
    <w:p>
      <w:pPr>
        <w:pStyle w:val="Heading2"/>
        <w:spacing w:before="280" w:after="120" w:line="360" w:lineRule="auto"/>
      </w:pPr>
      <w:r>
        <w:rPr>
          <w:rFonts w:ascii="Times New Roman" w:cs="Times New Roman" w:eastAsia="Times New Roman" w:hAnsi="Times New Roman"/>
          <w:b/>
          <w:bCs/>
          <w:color w:val="1A1A1A"/>
          <w:sz w:val="26"/>
          <w:szCs w:val="26"/>
        </w:rPr>
        <w:t xml:space="preserve">6.3 Perspectives et améliorations</w:t>
      </w:r>
    </w:p>
    <w:p>
      <w:pPr>
        <w:spacing w:before="0" w:after="160" w:line="360" w:lineRule="auto"/>
        <w:jc w:val="both"/>
      </w:pPr>
      <w:r>
        <w:rPr>
          <w:rFonts w:ascii="Times New Roman" w:cs="Times New Roman" w:eastAsia="Times New Roman" w:hAnsi="Times New Roman"/>
          <w:b w:val="false"/>
          <w:bCs w:val="false"/>
          <w:color w:val="000000"/>
          <w:sz w:val="22"/>
          <w:szCs w:val="22"/>
        </w:rPr>
        <w:t xml:space="preserve">Trois directions de recherche se dégagent directement de ce travail, classées par faisabilité croissante en termes d’effort de développement supplémentaire.</w:t>
      </w:r>
    </w:p>
    <w:p>
      <w:pPr>
        <w:spacing w:before="0" w:after="160" w:line="360" w:lineRule="auto"/>
        <w:ind w:left="720"/>
        <w:jc w:val="both"/>
      </w:pPr>
      <w:r>
        <w:rPr>
          <w:rFonts w:ascii="Times New Roman" w:cs="Times New Roman" w:eastAsia="Times New Roman" w:hAnsi="Times New Roman"/>
          <w:b w:val="false"/>
          <w:bCs w:val="false"/>
          <w:color w:val="000000"/>
          <w:sz w:val="22"/>
          <w:szCs w:val="22"/>
        </w:rPr>
        <w:t xml:space="preserve">Robustesse morphologique (extension immédiate) : une fois les deux populations évoluées, il est possible d’évaluer sans aucun développement supplémentaire la performance des créatures de la population “plaine” dans l’environnement “obstacles” et vice versa. Cette expérience de transfert fournit une mesure directe de la robustesse morphologique et enrichit considérablement l’analyse.</w:t>
      </w:r>
    </w:p>
    <w:p>
      <w:pPr>
        <w:spacing w:before="0" w:after="160" w:line="360" w:lineRule="auto"/>
        <w:ind w:left="720"/>
        <w:jc w:val="both"/>
      </w:pPr>
      <w:r>
        <w:rPr>
          <w:rFonts w:ascii="Times New Roman" w:cs="Times New Roman" w:eastAsia="Times New Roman" w:hAnsi="Times New Roman"/>
          <w:b w:val="false"/>
          <w:bCs w:val="false"/>
          <w:color w:val="000000"/>
          <w:sz w:val="22"/>
          <w:szCs w:val="22"/>
        </w:rPr>
        <w:t xml:space="preserve">Comparaison d’opérateurs de mutation : en implémentant deux ou trois variantes de l’opérateur de mutation (gaussienne classique, échange de segments, pas adaptatif), il est possible de répondre à RQ1 de manière plus approfondie et de mesurer l’impact de l’opérateur sur la diversité morphologique finale.</w:t>
      </w:r>
    </w:p>
    <w:p>
      <w:pPr>
        <w:spacing w:before="0" w:after="160" w:line="360" w:lineRule="auto"/>
        <w:ind w:left="720"/>
        <w:jc w:val="both"/>
      </w:pPr>
      <w:r>
        <w:rPr>
          <w:rFonts w:ascii="Times New Roman" w:cs="Times New Roman" w:eastAsia="Times New Roman" w:hAnsi="Times New Roman"/>
          <w:b w:val="false"/>
          <w:bCs w:val="false"/>
          <w:color w:val="000000"/>
          <w:sz w:val="22"/>
          <w:szCs w:val="22"/>
        </w:rPr>
        <w:t xml:space="preserve">Environnements dynamiques (perspective long terme) : l’extension vers des obstacles mobiles ou des environnements évolutifs constitue une direction de recherche future prometteuse, nécessitant cependant une refonte partielle du protocole d’évaluation de la fitness pour garantir la reproductibilité des expériences.</w:t>
      </w:r>
    </w:p>
    <w:p>
      <w:pPr>
        <w:spacing w:before="0" w:after="80" w:line="360" w:lineRule="auto"/>
      </w:pPr>
      <w:r>
        <w:t xml:space="preserve"/>
      </w:r>
    </w:p>
    <w:p>
      <w:pPr>
        <w:pBdr>
          <w:bottom w:val="single" w:color="BBBBBB" w:sz="2" w:space="1"/>
        </w:pBdr>
        <w:spacing w:before="200" w:after="200" w:line="360" w:lineRule="auto"/>
      </w:pPr>
      <w:r>
        <w:t xml:space="preserve"/>
      </w:r>
    </w:p>
    <w:p>
      <w:pPr>
        <w:pStyle w:val="Heading1"/>
        <w:pBdr>
          <w:bottom w:val="single" w:color="000000" w:sz="8" w:space="4"/>
        </w:pBdr>
        <w:spacing w:before="360" w:after="180" w:line="360" w:lineRule="auto"/>
      </w:pPr>
      <w:r>
        <w:rPr>
          <w:rFonts w:ascii="Times New Roman" w:cs="Times New Roman" w:eastAsia="Times New Roman" w:hAnsi="Times New Roman"/>
          <w:b/>
          <w:bCs/>
          <w:color w:val="000000"/>
          <w:sz w:val="32"/>
          <w:szCs w:val="32"/>
        </w:rPr>
        <w:t xml:space="preserve">Références bibliographiques</w:t>
      </w:r>
    </w:p>
    <w:p>
      <w:pPr>
        <w:spacing w:before="0" w:after="80" w:line="360" w:lineRule="auto"/>
        <w:ind w:left="720" w:hanging="720"/>
      </w:pPr>
      <w:r>
        <w:rPr>
          <w:rFonts w:ascii="Times New Roman" w:cs="Times New Roman" w:eastAsia="Times New Roman" w:hAnsi="Times New Roman"/>
          <w:color w:val="444444"/>
          <w:sz w:val="20"/>
          <w:szCs w:val="20"/>
        </w:rPr>
        <w:t xml:space="preserve">Auerbach, J. E., &amp; Bongard, J. C. (2012). On the relationship between environmental and morphological complexity in evolved robots. Proceedings of GECCO 2012. ACM.</w:t>
      </w:r>
    </w:p>
    <w:p>
      <w:pPr>
        <w:spacing w:before="0" w:after="80" w:line="360" w:lineRule="auto"/>
        <w:ind w:left="720" w:hanging="720"/>
      </w:pPr>
      <w:r>
        <w:rPr>
          <w:rFonts w:ascii="Times New Roman" w:cs="Times New Roman" w:eastAsia="Times New Roman" w:hAnsi="Times New Roman"/>
          <w:color w:val="444444"/>
          <w:sz w:val="20"/>
          <w:szCs w:val="20"/>
        </w:rPr>
        <w:t xml:space="preserve">Funes, P., &amp; Pollack, J. (1998). Evolutionary body building: Adaptive physical designs for robots. Artificial Life, 4(4), 337–357.</w:t>
      </w:r>
    </w:p>
    <w:p>
      <w:pPr>
        <w:spacing w:before="0" w:after="80" w:line="360" w:lineRule="auto"/>
        <w:ind w:left="720" w:hanging="720"/>
      </w:pPr>
      <w:r>
        <w:rPr>
          <w:rFonts w:ascii="Times New Roman" w:cs="Times New Roman" w:eastAsia="Times New Roman" w:hAnsi="Times New Roman"/>
          <w:color w:val="444444"/>
          <w:sz w:val="20"/>
          <w:szCs w:val="20"/>
        </w:rPr>
        <w:t xml:space="preserve">Kitchenham, B., &amp; Charters, S. (2007). Guidelines for performing systematic literature reviews in software engineering. EBSE Technical Report.</w:t>
      </w:r>
    </w:p>
    <w:p>
      <w:pPr>
        <w:spacing w:before="0" w:after="80" w:line="360" w:lineRule="auto"/>
        <w:ind w:left="720" w:hanging="720"/>
      </w:pPr>
      <w:r>
        <w:rPr>
          <w:rFonts w:ascii="Times New Roman" w:cs="Times New Roman" w:eastAsia="Times New Roman" w:hAnsi="Times New Roman"/>
          <w:color w:val="444444"/>
          <w:sz w:val="20"/>
          <w:szCs w:val="20"/>
        </w:rPr>
        <w:t xml:space="preserve">Lipson, H., &amp; Pollack, J. B. (2000). Automatic design and manufacture of robotic lifeforms. Nature, 406, 974–978.</w:t>
      </w:r>
    </w:p>
    <w:p>
      <w:pPr>
        <w:spacing w:before="0" w:after="80" w:line="360" w:lineRule="auto"/>
        <w:ind w:left="720" w:hanging="720"/>
      </w:pPr>
      <w:r>
        <w:rPr>
          <w:rFonts w:ascii="Times New Roman" w:cs="Times New Roman" w:eastAsia="Times New Roman" w:hAnsi="Times New Roman"/>
          <w:color w:val="444444"/>
          <w:sz w:val="20"/>
          <w:szCs w:val="20"/>
        </w:rPr>
        <w:t xml:space="preserve">Moore, J. M., &amp; McKinley, P. K. (2012). Evolving flexible joint morphologies. Proceedings of GECCO 2012. ACM.</w:t>
      </w:r>
    </w:p>
    <w:p>
      <w:pPr>
        <w:spacing w:before="0" w:after="80" w:line="360" w:lineRule="auto"/>
        <w:ind w:left="720" w:hanging="720"/>
      </w:pPr>
      <w:r>
        <w:rPr>
          <w:rFonts w:ascii="Times New Roman" w:cs="Times New Roman" w:eastAsia="Times New Roman" w:hAnsi="Times New Roman"/>
          <w:color w:val="444444"/>
          <w:sz w:val="20"/>
          <w:szCs w:val="20"/>
        </w:rPr>
        <w:t xml:space="preserve">Nordmoen, J., Veenstra, F., Ellefsen, K. O., &amp; Glette, K. (2021). Map-elites enables powerful stepping stones and diversity for modular robotics. Frontiers in Robotics and AI, 8.</w:t>
      </w:r>
    </w:p>
    <w:p>
      <w:pPr>
        <w:spacing w:before="0" w:after="80" w:line="360" w:lineRule="auto"/>
        <w:ind w:left="720" w:hanging="720"/>
      </w:pPr>
      <w:r>
        <w:rPr>
          <w:rFonts w:ascii="Times New Roman" w:cs="Times New Roman" w:eastAsia="Times New Roman" w:hAnsi="Times New Roman"/>
          <w:color w:val="444444"/>
          <w:sz w:val="20"/>
          <w:szCs w:val="20"/>
        </w:rPr>
        <w:t xml:space="preserve">Sims, K. (1994). Evolving virtual creatures. Proceedings of SIGGRAPH 1994 (pp. 15–22). ACM.</w:t>
      </w:r>
    </w:p>
    <w:p>
      <w:pPr>
        <w:spacing w:before="0" w:after="80" w:line="360" w:lineRule="auto"/>
        <w:ind w:left="720" w:hanging="720"/>
      </w:pPr>
      <w:r>
        <w:rPr>
          <w:rFonts w:ascii="Times New Roman" w:cs="Times New Roman" w:eastAsia="Times New Roman" w:hAnsi="Times New Roman"/>
          <w:color w:val="444444"/>
          <w:sz w:val="20"/>
          <w:szCs w:val="20"/>
        </w:rPr>
        <w:t xml:space="preserve">Stanley, K. O., &amp; Miikkulainen, R. (2002). Evolving neural networks through augmenting topologies. Evolutionary Computation, 10(2), 99–127.</w:t>
      </w:r>
    </w:p>
    <w:sectPr>
      <w:footerReference w:type="default" r:id="rId6"/>
      <w:pgSz w:w="11906" w:h="16838" w:orient="portrait"/>
      <w:pgMar w:top="1418" w:right="1418" w:bottom="17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t xml:space="preserve">BEHRA Matthis —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20"/>
      <w:outlineLvl w:val="1"/>
    </w:pPr>
    <w:rPr>
      <w:rFonts w:ascii="Times New Roman" w:cs="Times New Roman" w:eastAsia="Times New Roman" w:hAnsi="Times New Roman"/>
      <w:b/>
      <w:bCs/>
      <w:color w:val="1A1A1A"/>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2026-03-25T15:41:50.757Z</dcterms:created>
  <dcterms:modified xsi:type="dcterms:W3CDTF">2026-03-25T15:41:50.758Z</dcterms:modified>
</cp:coreProperties>
</file>

<file path=docProps/custom.xml><?xml version="1.0" encoding="utf-8"?>
<Properties xmlns="http://schemas.openxmlformats.org/officeDocument/2006/custom-properties" xmlns:vt="http://schemas.openxmlformats.org/officeDocument/2006/docPropsVTypes"/>
</file>