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333333"/>
          <w:sz w:val="24"/>
        </w:rPr>
        <w:t>ESCUELA POLITÉCNICA NACIONAL</w:t>
      </w:r>
    </w:p>
    <w:p>
      <w:pPr>
        <w:spacing w:after="40"/>
        <w:jc w:val="center"/>
      </w:pPr>
      <w:r>
        <w:rPr>
          <w:b w:val="0"/>
          <w:i w:val="0"/>
          <w:color w:val="666666"/>
          <w:sz w:val="22"/>
        </w:rPr>
        <w:t>CyberMinds — Célula de Ciberseguridad</w:t>
      </w:r>
    </w:p>
    <w:p>
      <w:pPr>
        <w:spacing w:after="1200"/>
        <w:jc w:val="center"/>
      </w:pPr>
      <w:r>
        <w:rPr>
          <w:b w:val="0"/>
          <w:i w:val="0"/>
          <w:color w:val="666666"/>
          <w:sz w:val="22"/>
        </w:rPr>
        <w:t>Fundamentos de Inteligencia Artificial (AIE) — Summer Camp 2026</w:t>
      </w:r>
    </w:p>
    <w:p>
      <w:pPr>
        <w:jc w:val="center"/>
      </w:pPr>
      <w:r>
        <w:rPr>
          <w:sz w:val="68"/>
        </w:rPr>
        <w:t>🎯</w:t>
      </w:r>
    </w:p>
    <w:p>
      <w:pPr>
        <w:spacing w:after="120"/>
        <w:jc w:val="center"/>
      </w:pPr>
      <w:r>
        <w:rPr>
          <w:b w:val="0"/>
          <w:i w:val="0"/>
          <w:color w:val="666666"/>
          <w:sz w:val="26"/>
        </w:rPr>
        <w:t>INFORME TÉCNICO DE PROYECTO</w:t>
      </w:r>
    </w:p>
    <w:p>
      <w:pPr>
        <w:spacing w:after="1200"/>
        <w:jc w:val="center"/>
      </w:pPr>
      <w:r>
        <w:rPr>
          <w:b/>
          <w:i w:val="0"/>
          <w:color w:val="9B1C1C"/>
          <w:sz w:val="42"/>
        </w:rPr>
        <w:t>Sistema Inteligente de Cribado y Auditoría de Talento</w:t>
      </w:r>
    </w:p>
    <w:tbl>
      <w:tblPr>
        <w:tblStyle w:val="TableGrid"/>
        <w:tblW w:type="auto" w:w="0"/>
        <w:tblLook w:firstColumn="1" w:firstRow="1" w:lastColumn="0" w:lastRow="0" w:noHBand="0" w:noVBand="1" w:val="04A0"/>
      </w:tblPr>
      <w:tblGrid>
        <w:gridCol w:w="4703"/>
        <w:gridCol w:w="4703"/>
      </w:tblGrid>
      <w:tr>
        <w:tc>
          <w:tcPr>
            <w:tcW w:type="dxa" w:w="2268"/>
            <w:shd w:val="clear" w:color="auto" w:fill="F2F2F2"/>
          </w:tcPr>
          <w:p>
            <w:r>
              <w:rPr>
                <w:b/>
              </w:rPr>
              <w:t>Integrante 1</w:t>
            </w:r>
          </w:p>
        </w:tc>
        <w:tc>
          <w:tcPr>
            <w:tcW w:type="dxa" w:w="4535"/>
          </w:tcPr>
          <w:p>
            <w:r>
              <w:t>Matthew Vladimir Redín Espinel</w:t>
            </w:r>
          </w:p>
        </w:tc>
      </w:tr>
      <w:tr>
        <w:tc>
          <w:tcPr>
            <w:tcW w:type="dxa" w:w="2268"/>
            <w:shd w:val="clear" w:color="auto" w:fill="F2F2F2"/>
          </w:tcPr>
          <w:p>
            <w:r>
              <w:rPr>
                <w:b/>
              </w:rPr>
              <w:t>Integrante 2</w:t>
            </w:r>
          </w:p>
        </w:tc>
        <w:tc>
          <w:tcPr>
            <w:tcW w:type="dxa" w:w="4535"/>
          </w:tcPr>
          <w:p>
            <w:r>
              <w:t>Fernando Alonso Carrera Zambrano</w:t>
            </w:r>
          </w:p>
        </w:tc>
      </w:tr>
    </w:tbl>
    <w:p>
      <w:pPr>
        <w:spacing w:after="800"/>
      </w:pPr>
      <w:r>
        <w:rPr>
          <w:b w:val="0"/>
          <w:i w:val="0"/>
          <w:sz w:val="22"/>
        </w:rPr>
      </w:r>
    </w:p>
    <w:p>
      <w:pPr>
        <w:spacing w:after="120"/>
        <w:jc w:val="center"/>
      </w:pPr>
      <w:r>
        <w:rPr>
          <w:b w:val="0"/>
          <w:i w:val="0"/>
          <w:color w:val="666666"/>
          <w:sz w:val="21"/>
        </w:rPr>
        <w:t>Quito, Ecuador — Agosto de 2026</w:t>
      </w:r>
    </w:p>
    <w:p>
      <w:pPr>
        <w:spacing w:after="600"/>
        <w:jc w:val="center"/>
      </w:pPr>
      <w:r>
        <w:rPr>
          <w:b w:val="0"/>
          <w:i/>
          <w:color w:val="666666"/>
          <w:sz w:val="19"/>
        </w:rPr>
        <w:t>Documento estructurado conforme a la Sección 4 (Requisitos de Documentación) de la guía del curso</w:t>
      </w:r>
    </w:p>
    <w:p>
      <w:r>
        <w:br w:type="page"/>
      </w:r>
    </w:p>
    <w:p>
      <w:pPr>
        <w:pStyle w:val="Heading1"/>
        <w:pBdr>
          <w:bottom w:val="single" w:sz="6" w:space="4" w:color="9B1C1C"/>
        </w:pBdr>
      </w:pPr>
      <w:r>
        <w:t>Resumen Ejecutivo</w:t>
      </w:r>
    </w:p>
    <w:p>
      <w:pPr>
        <w:spacing w:after="160"/>
        <w:jc w:val="both"/>
      </w:pPr>
      <w:r>
        <w:rPr>
          <w:b w:val="0"/>
          <w:i w:val="0"/>
          <w:sz w:val="22"/>
        </w:rPr>
        <w:t>Este informe documenta el diseño, la implementación y la validación de un sistema de cribado de hojas de vida asistido por Inteligencia Artificial. A diferencia de una simple consulta a un modelo de lenguaje, el núcleo del sistema es un clasificador de aprendizaje automático (GradientBoostingClassifier) entrenado sobre características extraídas mediante procesamiento de lenguaje natural y comparación semántica por embeddings. El modelo alcanza una exactitud de 91.1% y un área bajo la curva ROC de 97.5% en un conjunto de prueba independiente. El sistema incorpora, además, tres capacidades adicionales orientadas a un uso responsable: explicabilidad de cada predicción mediante SHAP, detección de anomalías y de posibles duplicados entre candidatos, y una auditoría automática de sesgos estructurales sobre los resultados del propio proceso de selección. Todo el pipeline se ejecuta de forma local, sin dependencia de servicios de pago ni de conexión a internet en tiempo de inferencia. La solución fue validada mediante una suite de catorce pruebas automatizadas de integración, todas superadas, y mediante pruebas manuales con currículums reales a través de un panel interactivo desarrollado en Streamlit.</w:t>
      </w:r>
    </w:p>
    <w:p>
      <w:r>
        <w:br w:type="page"/>
      </w:r>
    </w:p>
    <w:p>
      <w:pPr>
        <w:pStyle w:val="Heading1"/>
        <w:pBdr>
          <w:bottom w:val="single" w:sz="6" w:space="4" w:color="9B1C1C"/>
        </w:pBdr>
      </w:pPr>
      <w:r>
        <w:t>Índice</w:t>
      </w:r>
    </w:p>
    <w:p>
      <w:r>
        <w:fldChar w:fldCharType="begin"/>
      </w:r>
      <w:r>
        <w:instrText xml:space="preserve">TOC \o "1-2" \h \z \u</w:instrText>
      </w:r>
      <w:r>
        <w:fldChar w:fldCharType="separate"/>
      </w:r>
      <w:r>
        <w:t>1</w:t>
      </w:r>
      <w:r>
        <w:fldChar w:fldCharType="end"/>
      </w:r>
    </w:p>
    <w:p>
      <w:pPr>
        <w:spacing w:after="80"/>
      </w:pPr>
      <w:r>
        <w:rPr>
          <w:b w:val="0"/>
          <w:i/>
          <w:color w:val="666666"/>
          <w:sz w:val="18"/>
        </w:rPr>
        <w:t>Nota: Word genera este índice automáticamente a partir de los títulos del documento. Si al abrir el archivo se muestra en blanco o desactualizado, haga clic derecho sobre él y seleccione «Actualizar campo» → «Actualizar toda la tabla» (o presione F9).</w:t>
      </w:r>
    </w:p>
    <w:p>
      <w:r>
        <w:br w:type="page"/>
      </w:r>
    </w:p>
    <w:p>
      <w:pPr>
        <w:pStyle w:val="Heading1"/>
        <w:pBdr>
          <w:bottom w:val="single" w:sz="6" w:space="4" w:color="9B1C1C"/>
        </w:pBdr>
      </w:pPr>
      <w:r>
        <w:t>1. Definición del Problema</w:t>
      </w:r>
    </w:p>
    <w:p>
      <w:pPr>
        <w:pStyle w:val="Heading2"/>
      </w:pPr>
      <w:r>
        <w:t>1.1 Contexto</w:t>
      </w:r>
    </w:p>
    <w:p>
      <w:pPr>
        <w:spacing w:after="160"/>
        <w:jc w:val="both"/>
      </w:pPr>
      <w:r>
        <w:rPr>
          <w:b w:val="0"/>
          <w:i w:val="0"/>
          <w:sz w:val="22"/>
        </w:rPr>
        <w:t>En procesos de selección con un alto volumen de postulaciones, un reclutador puede recibir cientos de currículums para una sola vacante. La revisión exhaustiva de cada documento resulta inviable dentro del tiempo disponible, lo que da lugar a dos fallas sistemáticas: (1) el descarte de candidatos calificados por fatiga del evaluador, orden de lectura o azar, y (2) decisiones difíciles de justificar de manera objetiva ante el candidato o ante el área de Recursos Humanos.</w:t>
      </w:r>
    </w:p>
    <w:p>
      <w:pPr>
        <w:pStyle w:val="Heading2"/>
      </w:pPr>
      <w:r>
        <w:t>1.2 Impacto</w:t>
      </w:r>
    </w:p>
    <w:p>
      <w:pPr>
        <w:pStyle w:val="ListBullet"/>
        <w:spacing w:after="80"/>
      </w:pPr>
      <w:r>
        <w:t>Para la organización: costo de oportunidad por pérdida de talento calificado, procesos de selección más lentos y decisiones no auditables que exponen a la empresa a reclamos de discriminación.</w:t>
      </w:r>
    </w:p>
    <w:p>
      <w:pPr>
        <w:pStyle w:val="ListBullet"/>
        <w:spacing w:after="80"/>
      </w:pPr>
      <w:r>
        <w:t>Para el candidato: rechazo sin retroalimentación, sin conocer los criterios que determinaron su descarte.</w:t>
      </w:r>
    </w:p>
    <w:p>
      <w:pPr>
        <w:pStyle w:val="Heading2"/>
      </w:pPr>
      <w:r>
        <w:t>1.3 Justificación de una solución basada en IA</w:t>
      </w:r>
    </w:p>
    <w:p>
      <w:pPr>
        <w:spacing w:after="160"/>
        <w:jc w:val="both"/>
      </w:pPr>
      <w:r>
        <w:rPr>
          <w:b w:val="0"/>
          <w:i w:val="0"/>
          <w:sz w:val="22"/>
        </w:rPr>
        <w:t>Un filtro por coincidencia de palabras clave (por ejemplo, verificar si el texto contiene la cadena "Python") no distingue paráfrasis semánticamente equivalentes ("desarrollo de APIs con Django" frente a "backend en Python"), no pondera la importancia relativa de cada requisito y no generaliza a partir de patrones no explícitos en el texto. Estas limitaciones motivan un enfoque basado en un modelo entrenado sobre características combinadas — cobertura de habilidades, experiencia, formación académica y similitud semántica por embeddings — en lugar de una heurística determinista presentada como inteligencia artificial.</w:t>
      </w:r>
    </w:p>
    <w:p>
      <w:pPr>
        <w:pStyle w:val="Heading2"/>
      </w:pPr>
      <w:r>
        <w:t>1.4 Justificación técnica del enfoque</w:t>
      </w:r>
    </w:p>
    <w:p>
      <w:pPr>
        <w:pStyle w:val="ListNumber"/>
        <w:spacing w:after="80"/>
      </w:pPr>
      <w:r>
        <w:t>Extracción de habilidades mediante una taxonomía propia combinada con coincidencia difusa (fuzzy matching, rapidfuzz), tolerante a variaciones de escritura y errores tipográficos.</w:t>
      </w:r>
    </w:p>
    <w:p>
      <w:pPr>
        <w:pStyle w:val="ListNumber"/>
        <w:spacing w:after="80"/>
      </w:pPr>
      <w:r>
        <w:t>Comprensión semántica mediante embeddings locales (sentence-transformers), que estiman la afinidad semántica entre la redacción del currículum y la vacante más allá de coincidencias literales.</w:t>
      </w:r>
    </w:p>
    <w:p>
      <w:pPr>
        <w:pStyle w:val="ListNumber"/>
        <w:spacing w:after="80"/>
      </w:pPr>
      <w:r>
        <w:t>Un modelo entrenado (GradientBoostingClassifier, scikit-learn) combina las señales anteriores en un score probabilístico, evaluado con métricas cuantitativas (exactitud, F1, ROC-AUC) sobre un conjunto de prueba independiente.</w:t>
      </w:r>
    </w:p>
    <w:p>
      <w:pPr>
        <w:pStyle w:val="ListNumber"/>
        <w:spacing w:after="80"/>
      </w:pPr>
      <w:r>
        <w:t>Explicabilidad mediante SHAP, que expone la contribución de cada característica al resultado de cada candidato individual, permitiendo que la decisión sea auditable y defendible.</w:t>
      </w:r>
    </w:p>
    <w:p>
      <w:pPr>
        <w:pStyle w:val="ListNumber"/>
        <w:spacing w:after="80"/>
      </w:pPr>
      <w:r>
        <w:t>Auditoría de sesgos, que evalúa si el proceso de scoring favorece sistemáticamente a determinados grupos estructurales, aplicando la regla del 80% empleada en auditorías de impacto adverso en contratación (EEOC, 1978).</w:t>
      </w:r>
    </w:p>
    <w:p>
      <w:pPr>
        <w:pStyle w:val="ListNumber"/>
        <w:spacing w:after="80"/>
      </w:pPr>
      <w:r>
        <w:t>Detección de anomalías mediante un IsolationForest, que identifica currículums con una densidad de palabras clave anormalmente alta, indicativa de manipulación del sistema (keyword-stuffing).</w:t>
      </w:r>
    </w:p>
    <w:p>
      <w:pPr>
        <w:pStyle w:val="ListNumber"/>
        <w:spacing w:after="80"/>
      </w:pPr>
      <w:r>
        <w:t>Detección de duplicados mediante similitud coseno entre los embeddings de todos los currículums de un mismo lote, para exponer posibles reenvíos o plagio entre postulantes.</w:t>
      </w:r>
    </w:p>
    <w:p>
      <w:pPr>
        <w:pStyle w:val="Heading2"/>
      </w:pPr>
      <w:r>
        <w:t>1.5 Alcance y resultado producido</w:t>
      </w:r>
    </w:p>
    <w:p>
      <w:pPr>
        <w:spacing w:after="160"/>
        <w:jc w:val="both"/>
      </w:pPr>
      <w:r>
        <w:rPr>
          <w:b w:val="0"/>
          <w:i w:val="0"/>
          <w:sz w:val="22"/>
        </w:rPr>
        <w:t>La solución cubre simultáneamente tres de las categorías de resultado válidas definidas en la guía del curso:</w:t>
      </w:r>
    </w:p>
    <w:p>
      <w:pPr>
        <w:pStyle w:val="ListBullet"/>
        <w:spacing w:after="80"/>
      </w:pPr>
      <w:r>
        <w:t>Predicción: probabilidad de ajuste ("fit") de un candidato frente a una vacante.</w:t>
      </w:r>
    </w:p>
    <w:p>
      <w:pPr>
        <w:pStyle w:val="ListBullet"/>
        <w:spacing w:after="80"/>
      </w:pPr>
      <w:r>
        <w:t>Toma de decisiones: clasificación apto / no apto fundamentada en una evaluación probabilística.</w:t>
      </w:r>
    </w:p>
    <w:p>
      <w:pPr>
        <w:pStyle w:val="ListBullet"/>
        <w:spacing w:after="80"/>
      </w:pPr>
      <w:r>
        <w:t>Identificación de patrones: detección de anomalías (keyword-stuffing) y de duplicados entre currículums.</w:t>
      </w:r>
    </w:p>
    <w:p>
      <w:r>
        <w:br w:type="page"/>
      </w:r>
    </w:p>
    <w:p>
      <w:pPr>
        <w:pStyle w:val="Heading1"/>
        <w:pBdr>
          <w:bottom w:val="single" w:sz="6" w:space="4" w:color="9B1C1C"/>
        </w:pBdr>
      </w:pPr>
      <w:r>
        <w:t>2. Uso de la IA como Copiloto</w:t>
      </w:r>
    </w:p>
    <w:p>
      <w:pPr>
        <w:spacing w:after="160"/>
        <w:jc w:val="both"/>
      </w:pPr>
      <w:r>
        <w:rPr>
          <w:b w:val="0"/>
          <w:i w:val="0"/>
          <w:sz w:val="22"/>
        </w:rPr>
        <w:t>Se utilizó Claude Code (modelo Claude Sonnet 5, Anthropic) como copiloto de inteligencia artificial a lo largo de todo el proyecto, en dos sesiones complementarias: Fernando Alonso Carrera Zambrano condujo la fase de ideación y validación del problema, explorando y acotando alternativas hasta llegar al cribado de hojas de vida como proyecto final; Matthew Vladimir Redín Espinel condujo la fase de diseño técnico, implementación, depuración y documentación a partir de esa idea. A continuación se presenta el registro auditable exigido por la guía del curso.</w:t>
      </w:r>
    </w:p>
    <w:p>
      <w:pPr>
        <w:pStyle w:val="Heading2"/>
      </w:pPr>
      <w:r>
        <w:t>2.1 Modelos de IA utilizados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9B1C1C"/>
            <w:vAlign w:val="center"/>
          </w:tcPr>
          <w:p>
            <w:r>
              <w:rPr>
                <w:b/>
                <w:color w:val="FFFFFF"/>
                <w:sz w:val="20"/>
              </w:rPr>
              <w:t>Modelo</w:t>
            </w:r>
          </w:p>
        </w:tc>
        <w:tc>
          <w:tcPr>
            <w:tcW w:type="dxa" w:w="3118"/>
            <w:shd w:val="clear" w:color="auto" w:fill="9B1C1C"/>
            <w:vAlign w:val="center"/>
          </w:tcPr>
          <w:p>
            <w:r>
              <w:rPr>
                <w:b/>
                <w:color w:val="FFFFFF"/>
                <w:sz w:val="20"/>
              </w:rPr>
              <w:t>Proveedor / versión</w:t>
            </w:r>
          </w:p>
        </w:tc>
        <w:tc>
          <w:tcPr>
            <w:tcW w:type="dxa" w:w="2835"/>
            <w:shd w:val="clear" w:color="auto" w:fill="9B1C1C"/>
            <w:vAlign w:val="center"/>
          </w:tcPr>
          <w:p>
            <w:r>
              <w:rPr>
                <w:b/>
                <w:color w:val="FFFFFF"/>
                <w:sz w:val="20"/>
              </w:rPr>
              <w:t>Uso principal</w:t>
            </w:r>
          </w:p>
        </w:tc>
      </w:tr>
      <w:tr>
        <w:tc>
          <w:tcPr>
            <w:tcW w:type="dxa" w:w="2835"/>
            <w:vAlign w:val="center"/>
          </w:tcPr>
          <w:p>
            <w:r>
              <w:rPr>
                <w:sz w:val="20"/>
              </w:rPr>
              <w:t>Claude Sonnet 5</w:t>
            </w:r>
          </w:p>
        </w:tc>
        <w:tc>
          <w:tcPr>
            <w:tcW w:type="dxa" w:w="3118"/>
            <w:vAlign w:val="center"/>
          </w:tcPr>
          <w:p>
            <w:r>
              <w:rPr>
                <w:sz w:val="20"/>
              </w:rPr>
              <w:t>Anthropic, vía Claude Code</w:t>
            </w:r>
          </w:p>
        </w:tc>
        <w:tc>
          <w:tcPr>
            <w:tcW w:type="dxa" w:w="2835"/>
            <w:vAlign w:val="center"/>
          </w:tcPr>
          <w:p>
            <w:r>
              <w:rPr>
                <w:sz w:val="20"/>
              </w:rPr>
              <w:t>Diseño de arquitectura, generación y depuración de código, redacción de documentación</w:t>
            </w:r>
          </w:p>
        </w:tc>
      </w:tr>
    </w:tbl>
    <w:p>
      <w:pPr>
        <w:spacing w:before="80" w:after="200"/>
        <w:jc w:val="center"/>
      </w:pPr>
      <w:r>
        <w:rPr>
          <w:i/>
          <w:color w:val="666666"/>
          <w:sz w:val="19"/>
        </w:rPr>
        <w:t>Tabla 1. Modelos de inteligencia artificial utilizados como copiloto</w:t>
      </w:r>
    </w:p>
    <w:p>
      <w:pPr>
        <w:pStyle w:val="Heading2"/>
      </w:pPr>
      <w:r>
        <w:t>2.2 Registro de prompts — Matthew Vladimir Redín Espinel</w:t>
      </w:r>
    </w:p>
    <w:p>
      <w:pPr>
        <w:spacing w:after="160"/>
      </w:pPr>
      <w:r>
        <w:rPr>
          <w:b w:val="0"/>
          <w:i w:val="0"/>
          <w:color w:val="333333"/>
          <w:sz w:val="21"/>
        </w:rPr>
        <w:t>Nombre: Matthew Vladimir Redín Espinel     Rol: diseño técnico, implementación y documentación</w:t>
      </w:r>
    </w:p>
    <w:tbl>
      <w:tblPr>
        <w:tblStyle w:val="TableGrid"/>
        <w:tblW w:type="auto" w:w="0"/>
        <w:tblLook w:firstColumn="1" w:firstRow="1" w:lastColumn="0" w:lastRow="0" w:noHBand="0" w:noVBand="1" w:val="04A0"/>
      </w:tblPr>
      <w:tblGrid>
        <w:gridCol w:w="2351"/>
        <w:gridCol w:w="2351"/>
        <w:gridCol w:w="2351"/>
        <w:gridCol w:w="2351"/>
      </w:tblGrid>
      <w:tr>
        <w:tc>
          <w:tcPr>
            <w:tcW w:type="dxa" w:w="907"/>
            <w:shd w:val="clear" w:color="auto" w:fill="9B1C1C"/>
            <w:vAlign w:val="center"/>
          </w:tcPr>
          <w:p>
            <w:r>
              <w:rPr>
                <w:b/>
                <w:color w:val="FFFFFF"/>
                <w:sz w:val="20"/>
              </w:rPr>
              <w:t>Fecha</w:t>
            </w:r>
          </w:p>
        </w:tc>
        <w:tc>
          <w:tcPr>
            <w:tcW w:type="dxa" w:w="964"/>
            <w:shd w:val="clear" w:color="auto" w:fill="9B1C1C"/>
            <w:vAlign w:val="center"/>
          </w:tcPr>
          <w:p>
            <w:r>
              <w:rPr>
                <w:b/>
                <w:color w:val="FFFFFF"/>
                <w:sz w:val="20"/>
              </w:rPr>
              <w:t>Modelo</w:t>
            </w:r>
          </w:p>
        </w:tc>
        <w:tc>
          <w:tcPr>
            <w:tcW w:type="dxa" w:w="3515"/>
            <w:shd w:val="clear" w:color="auto" w:fill="9B1C1C"/>
            <w:vAlign w:val="center"/>
          </w:tcPr>
          <w:p>
            <w:r>
              <w:rPr>
                <w:b/>
                <w:color w:val="FFFFFF"/>
                <w:sz w:val="20"/>
              </w:rPr>
              <w:t>Prompt principal (resumen)</w:t>
            </w:r>
          </w:p>
        </w:tc>
        <w:tc>
          <w:tcPr>
            <w:tcW w:type="dxa" w:w="3118"/>
            <w:shd w:val="clear" w:color="auto" w:fill="9B1C1C"/>
            <w:vAlign w:val="center"/>
          </w:tcPr>
          <w:p>
            <w:r>
              <w:rPr>
                <w:b/>
                <w:color w:val="FFFFFF"/>
                <w:sz w:val="20"/>
              </w:rPr>
              <w:t>Qué resolvió / generó</w:t>
            </w:r>
          </w:p>
        </w:tc>
      </w:tr>
      <w:tr>
        <w:tc>
          <w:tcPr>
            <w:tcW w:type="dxa" w:w="907"/>
            <w:vAlign w:val="center"/>
          </w:tcPr>
          <w:p>
            <w:r>
              <w:rPr>
                <w:sz w:val="20"/>
              </w:rPr>
              <w:t>25/08/2026</w:t>
            </w:r>
          </w:p>
        </w:tc>
        <w:tc>
          <w:tcPr>
            <w:tcW w:type="dxa" w:w="964"/>
            <w:vAlign w:val="center"/>
          </w:tcPr>
          <w:p>
            <w:r>
              <w:rPr>
                <w:sz w:val="20"/>
              </w:rPr>
              <w:t>Claude Sonnet 5</w:t>
            </w:r>
          </w:p>
        </w:tc>
        <w:tc>
          <w:tcPr>
            <w:tcW w:type="dxa" w:w="3515"/>
            <w:vAlign w:val="center"/>
          </w:tcPr>
          <w:p>
            <w:r>
              <w:rPr>
                <w:sz w:val="20"/>
              </w:rPr>
              <w:t>Análisis de la guía del curso y evaluación de la idea recibida (cribado de CVs) frente a los criterios de la rúbrica</w:t>
            </w:r>
          </w:p>
        </w:tc>
        <w:tc>
          <w:tcPr>
            <w:tcW w:type="dxa" w:w="3118"/>
            <w:vAlign w:val="center"/>
          </w:tcPr>
          <w:p>
            <w:r>
              <w:rPr>
                <w:sz w:val="20"/>
              </w:rPr>
              <w:t>Diagnóstico: la idea original coincidía con el ejemplo de tutorial citado por la guía; se decidió profundizarla</w:t>
            </w:r>
          </w:p>
        </w:tc>
      </w:tr>
      <w:tr>
        <w:tc>
          <w:tcPr>
            <w:tcW w:type="dxa" w:w="907"/>
            <w:shd w:val="clear" w:color="auto" w:fill="F2F2F2"/>
            <w:vAlign w:val="center"/>
          </w:tcPr>
          <w:p>
            <w:r>
              <w:rPr>
                <w:sz w:val="20"/>
              </w:rPr>
              <w:t>25/08/2026</w:t>
            </w:r>
          </w:p>
        </w:tc>
        <w:tc>
          <w:tcPr>
            <w:tcW w:type="dxa" w:w="964"/>
            <w:shd w:val="clear" w:color="auto" w:fill="F2F2F2"/>
            <w:vAlign w:val="center"/>
          </w:tcPr>
          <w:p>
            <w:r>
              <w:rPr>
                <w:sz w:val="20"/>
              </w:rPr>
              <w:t>Claude Sonnet 5</w:t>
            </w:r>
          </w:p>
        </w:tc>
        <w:tc>
          <w:tcPr>
            <w:tcW w:type="dxa" w:w="3515"/>
            <w:shd w:val="clear" w:color="auto" w:fill="F2F2F2"/>
            <w:vAlign w:val="center"/>
          </w:tcPr>
          <w:p>
            <w:r>
              <w:rPr>
                <w:sz w:val="20"/>
              </w:rPr>
              <w:t>Diseño de una arquitectura más sofisticada: modelo de ML entrenado, explicabilidad, auditoría de sesgos, detección de duplicados</w:t>
            </w:r>
          </w:p>
        </w:tc>
        <w:tc>
          <w:tcPr>
            <w:tcW w:type="dxa" w:w="3118"/>
            <w:shd w:val="clear" w:color="auto" w:fill="F2F2F2"/>
            <w:vAlign w:val="center"/>
          </w:tcPr>
          <w:p>
            <w:r>
              <w:rPr>
                <w:sz w:val="20"/>
              </w:rPr>
              <w:t>Plan de arquitectura y cronograma de dos días, aprobado en modo Plan</w:t>
            </w:r>
          </w:p>
        </w:tc>
      </w:tr>
      <w:tr>
        <w:tc>
          <w:tcPr>
            <w:tcW w:type="dxa" w:w="907"/>
            <w:vAlign w:val="center"/>
          </w:tcPr>
          <w:p>
            <w:r>
              <w:rPr>
                <w:sz w:val="20"/>
              </w:rPr>
              <w:t>25/08/2026</w:t>
            </w:r>
          </w:p>
        </w:tc>
        <w:tc>
          <w:tcPr>
            <w:tcW w:type="dxa" w:w="964"/>
            <w:vAlign w:val="center"/>
          </w:tcPr>
          <w:p>
            <w:r>
              <w:rPr>
                <w:sz w:val="20"/>
              </w:rPr>
              <w:t>Claude Sonnet 5</w:t>
            </w:r>
          </w:p>
        </w:tc>
        <w:tc>
          <w:tcPr>
            <w:tcW w:type="dxa" w:w="3515"/>
            <w:vAlign w:val="center"/>
          </w:tcPr>
          <w:p>
            <w:r>
              <w:rPr>
                <w:sz w:val="20"/>
              </w:rPr>
              <w:t>Implementación del pipeline base: taxonomía de habilidades, parsing de CV, ingeniería de características, generación de datos sintéticos</w:t>
            </w:r>
          </w:p>
        </w:tc>
        <w:tc>
          <w:tcPr>
            <w:tcW w:type="dxa" w:w="3118"/>
            <w:vAlign w:val="center"/>
          </w:tcPr>
          <w:p>
            <w:r>
              <w:rPr>
                <w:sz w:val="20"/>
              </w:rPr>
              <w:t>src/taxonomy.py, parsing.py, features.py, synthetic_data.py</w:t>
            </w:r>
          </w:p>
        </w:tc>
      </w:tr>
      <w:tr>
        <w:tc>
          <w:tcPr>
            <w:tcW w:type="dxa" w:w="907"/>
            <w:shd w:val="clear" w:color="auto" w:fill="F2F2F2"/>
            <w:vAlign w:val="center"/>
          </w:tcPr>
          <w:p>
            <w:r>
              <w:rPr>
                <w:sz w:val="20"/>
              </w:rPr>
              <w:t>25/08/2026</w:t>
            </w:r>
          </w:p>
        </w:tc>
        <w:tc>
          <w:tcPr>
            <w:tcW w:type="dxa" w:w="964"/>
            <w:shd w:val="clear" w:color="auto" w:fill="F2F2F2"/>
            <w:vAlign w:val="center"/>
          </w:tcPr>
          <w:p>
            <w:r>
              <w:rPr>
                <w:sz w:val="20"/>
              </w:rPr>
              <w:t>Claude Sonnet 5</w:t>
            </w:r>
          </w:p>
        </w:tc>
        <w:tc>
          <w:tcPr>
            <w:tcW w:type="dxa" w:w="3515"/>
            <w:shd w:val="clear" w:color="auto" w:fill="F2F2F2"/>
            <w:vAlign w:val="center"/>
          </w:tcPr>
          <w:p>
            <w:r>
              <w:rPr>
                <w:sz w:val="20"/>
              </w:rPr>
              <w:t>Entrenamiento del modelo de fit-score y del detector de anomalías; corrección de errores de extracción (tildes, n-gramas, falsos positivos de universidad)</w:t>
            </w:r>
          </w:p>
        </w:tc>
        <w:tc>
          <w:tcPr>
            <w:tcW w:type="dxa" w:w="3118"/>
            <w:shd w:val="clear" w:color="auto" w:fill="F2F2F2"/>
            <w:vAlign w:val="center"/>
          </w:tcPr>
          <w:p>
            <w:r>
              <w:rPr>
                <w:sz w:val="20"/>
              </w:rPr>
              <w:t>train_model.py, anomaly.py — modelo con 91.1% de exactitud y 97.5% de ROC-AUC</w:t>
            </w:r>
          </w:p>
        </w:tc>
      </w:tr>
      <w:tr>
        <w:tc>
          <w:tcPr>
            <w:tcW w:type="dxa" w:w="907"/>
            <w:vAlign w:val="center"/>
          </w:tcPr>
          <w:p>
            <w:r>
              <w:rPr>
                <w:sz w:val="20"/>
              </w:rPr>
              <w:t>25/08/2026</w:t>
            </w:r>
          </w:p>
        </w:tc>
        <w:tc>
          <w:tcPr>
            <w:tcW w:type="dxa" w:w="964"/>
            <w:vAlign w:val="center"/>
          </w:tcPr>
          <w:p>
            <w:r>
              <w:rPr>
                <w:sz w:val="20"/>
              </w:rPr>
              <w:t>Claude Sonnet 5</w:t>
            </w:r>
          </w:p>
        </w:tc>
        <w:tc>
          <w:tcPr>
            <w:tcW w:type="dxa" w:w="3515"/>
            <w:vAlign w:val="center"/>
          </w:tcPr>
          <w:p>
            <w:r>
              <w:rPr>
                <w:sz w:val="20"/>
              </w:rPr>
              <w:t>Implementación de explicabilidad SHAP, auditoría de sesgos, detección de duplicados y recomendaciones de upskilling</w:t>
            </w:r>
          </w:p>
        </w:tc>
        <w:tc>
          <w:tcPr>
            <w:tcW w:type="dxa" w:w="3118"/>
            <w:vAlign w:val="center"/>
          </w:tcPr>
          <w:p>
            <w:r>
              <w:rPr>
                <w:sz w:val="20"/>
              </w:rPr>
              <w:t>explainability.py, fairness.py, duplicates.py, upskilling.py, scoring_pipeline.py</w:t>
            </w:r>
          </w:p>
        </w:tc>
      </w:tr>
      <w:tr>
        <w:tc>
          <w:tcPr>
            <w:tcW w:type="dxa" w:w="907"/>
            <w:shd w:val="clear" w:color="auto" w:fill="F2F2F2"/>
            <w:vAlign w:val="center"/>
          </w:tcPr>
          <w:p>
            <w:r>
              <w:rPr>
                <w:sz w:val="20"/>
              </w:rPr>
              <w:t>25/08/2026</w:t>
            </w:r>
          </w:p>
        </w:tc>
        <w:tc>
          <w:tcPr>
            <w:tcW w:type="dxa" w:w="964"/>
            <w:shd w:val="clear" w:color="auto" w:fill="F2F2F2"/>
            <w:vAlign w:val="center"/>
          </w:tcPr>
          <w:p>
            <w:r>
              <w:rPr>
                <w:sz w:val="20"/>
              </w:rPr>
              <w:t>Claude Sonnet 5</w:t>
            </w:r>
          </w:p>
        </w:tc>
        <w:tc>
          <w:tcPr>
            <w:tcW w:type="dxa" w:w="3515"/>
            <w:shd w:val="clear" w:color="auto" w:fill="F2F2F2"/>
            <w:vAlign w:val="center"/>
          </w:tcPr>
          <w:p>
            <w:r>
              <w:rPr>
                <w:sz w:val="20"/>
              </w:rPr>
              <w:t>Construcción del panel interactivo en Streamlit y verificación de extremo a extremo con currículums reales</w:t>
            </w:r>
          </w:p>
        </w:tc>
        <w:tc>
          <w:tcPr>
            <w:tcW w:type="dxa" w:w="3118"/>
            <w:shd w:val="clear" w:color="auto" w:fill="F2F2F2"/>
            <w:vAlign w:val="center"/>
          </w:tcPr>
          <w:p>
            <w:r>
              <w:rPr>
                <w:sz w:val="20"/>
              </w:rPr>
              <w:t>app.py; pruebas manuales con la carpeta ejemplos/ mediante navegador</w:t>
            </w:r>
          </w:p>
        </w:tc>
      </w:tr>
      <w:tr>
        <w:tc>
          <w:tcPr>
            <w:tcW w:type="dxa" w:w="907"/>
            <w:vAlign w:val="center"/>
          </w:tcPr>
          <w:p>
            <w:r>
              <w:rPr>
                <w:sz w:val="20"/>
              </w:rPr>
              <w:t>26/08/2026</w:t>
            </w:r>
          </w:p>
        </w:tc>
        <w:tc>
          <w:tcPr>
            <w:tcW w:type="dxa" w:w="964"/>
            <w:vAlign w:val="center"/>
          </w:tcPr>
          <w:p>
            <w:r>
              <w:rPr>
                <w:sz w:val="20"/>
              </w:rPr>
              <w:t>Claude Sonnet 5</w:t>
            </w:r>
          </w:p>
        </w:tc>
        <w:tc>
          <w:tcPr>
            <w:tcW w:type="dxa" w:w="3515"/>
            <w:vAlign w:val="center"/>
          </w:tcPr>
          <w:p>
            <w:r>
              <w:rPr>
                <w:sz w:val="20"/>
              </w:rPr>
              <w:t>Formulario de vacante totalmente editable (habilidades obligatorias/deseables, experiencia, educación) y creación de puestos personalizados</w:t>
            </w:r>
          </w:p>
        </w:tc>
        <w:tc>
          <w:tcPr>
            <w:tcW w:type="dxa" w:w="3118"/>
            <w:vAlign w:val="center"/>
          </w:tcPr>
          <w:p>
            <w:r>
              <w:rPr>
                <w:sz w:val="20"/>
              </w:rPr>
              <w:t>Rediseño de la sección «Vacante» en app.py</w:t>
            </w:r>
          </w:p>
        </w:tc>
      </w:tr>
      <w:tr>
        <w:tc>
          <w:tcPr>
            <w:tcW w:type="dxa" w:w="907"/>
            <w:shd w:val="clear" w:color="auto" w:fill="F2F2F2"/>
            <w:vAlign w:val="center"/>
          </w:tcPr>
          <w:p>
            <w:r>
              <w:rPr>
                <w:sz w:val="20"/>
              </w:rPr>
              <w:t>26/08/2026</w:t>
            </w:r>
          </w:p>
        </w:tc>
        <w:tc>
          <w:tcPr>
            <w:tcW w:type="dxa" w:w="964"/>
            <w:shd w:val="clear" w:color="auto" w:fill="F2F2F2"/>
            <w:vAlign w:val="center"/>
          </w:tcPr>
          <w:p>
            <w:r>
              <w:rPr>
                <w:sz w:val="20"/>
              </w:rPr>
              <w:t>Claude Sonnet 5</w:t>
            </w:r>
          </w:p>
        </w:tc>
        <w:tc>
          <w:tcPr>
            <w:tcW w:type="dxa" w:w="3515"/>
            <w:shd w:val="clear" w:color="auto" w:fill="F2F2F2"/>
            <w:vAlign w:val="center"/>
          </w:tcPr>
          <w:p>
            <w:r>
              <w:rPr>
                <w:sz w:val="20"/>
              </w:rPr>
              <w:t>Exportación de resultados a CSV y suite de pruebas automatizadas del pipeline completo</w:t>
            </w:r>
          </w:p>
        </w:tc>
        <w:tc>
          <w:tcPr>
            <w:tcW w:type="dxa" w:w="3118"/>
            <w:shd w:val="clear" w:color="auto" w:fill="F2F2F2"/>
            <w:vAlign w:val="center"/>
          </w:tcPr>
          <w:p>
            <w:r>
              <w:rPr>
                <w:sz w:val="20"/>
              </w:rPr>
              <w:t>ui.py::build_csv; tests/test_pipeline.py</w:t>
            </w:r>
          </w:p>
        </w:tc>
      </w:tr>
      <w:tr>
        <w:tc>
          <w:tcPr>
            <w:tcW w:type="dxa" w:w="907"/>
            <w:vAlign w:val="center"/>
          </w:tcPr>
          <w:p>
            <w:r>
              <w:rPr>
                <w:sz w:val="20"/>
              </w:rPr>
              <w:t>26/08/2026</w:t>
            </w:r>
          </w:p>
        </w:tc>
        <w:tc>
          <w:tcPr>
            <w:tcW w:type="dxa" w:w="964"/>
            <w:vAlign w:val="center"/>
          </w:tcPr>
          <w:p>
            <w:r>
              <w:rPr>
                <w:sz w:val="20"/>
              </w:rPr>
              <w:t>Claude Sonnet 5</w:t>
            </w:r>
          </w:p>
        </w:tc>
        <w:tc>
          <w:tcPr>
            <w:tcW w:type="dxa" w:w="3515"/>
            <w:vAlign w:val="center"/>
          </w:tcPr>
          <w:p>
            <w:r>
              <w:rPr>
                <w:sz w:val="20"/>
              </w:rPr>
              <w:t>Autenticación de administrador para editar/crear vacantes y refuerzo de seguridad (CSV injection, XSS, manejo de archivos corruptos)</w:t>
            </w:r>
          </w:p>
        </w:tc>
        <w:tc>
          <w:tcPr>
            <w:tcW w:type="dxa" w:w="3118"/>
            <w:vAlign w:val="center"/>
          </w:tcPr>
          <w:p>
            <w:r>
              <w:rPr>
                <w:sz w:val="20"/>
              </w:rPr>
              <w:t>src/auth.py, .streamlit/secrets.toml, tests/test_security.py, docs/seguridad.md</w:t>
            </w:r>
          </w:p>
        </w:tc>
      </w:tr>
      <w:tr>
        <w:tc>
          <w:tcPr>
            <w:tcW w:type="dxa" w:w="907"/>
            <w:shd w:val="clear" w:color="auto" w:fill="F2F2F2"/>
            <w:vAlign w:val="center"/>
          </w:tcPr>
          <w:p>
            <w:r>
              <w:rPr>
                <w:sz w:val="20"/>
              </w:rPr>
              <w:t>27/08/2026</w:t>
            </w:r>
          </w:p>
        </w:tc>
        <w:tc>
          <w:tcPr>
            <w:tcW w:type="dxa" w:w="964"/>
            <w:shd w:val="clear" w:color="auto" w:fill="F2F2F2"/>
            <w:vAlign w:val="center"/>
          </w:tcPr>
          <w:p>
            <w:r>
              <w:rPr>
                <w:sz w:val="20"/>
              </w:rPr>
              <w:t>Claude Sonnet 5</w:t>
            </w:r>
          </w:p>
        </w:tc>
        <w:tc>
          <w:tcPr>
            <w:tcW w:type="dxa" w:w="3515"/>
            <w:shd w:val="clear" w:color="auto" w:fill="F2F2F2"/>
            <w:vAlign w:val="center"/>
          </w:tcPr>
          <w:p>
            <w:r>
              <w:rPr>
                <w:sz w:val="20"/>
              </w:rPr>
              <w:t>Rediseño visual completo (paleta clara, tipografía, animaciones) inspirado en una referencia aportada por el equipo, adaptada a un panel de trabajo</w:t>
            </w:r>
          </w:p>
        </w:tc>
        <w:tc>
          <w:tcPr>
            <w:tcW w:type="dxa" w:w="3118"/>
            <w:shd w:val="clear" w:color="auto" w:fill="F2F2F2"/>
            <w:vAlign w:val="center"/>
          </w:tcPr>
          <w:p>
            <w:r>
              <w:rPr>
                <w:sz w:val="20"/>
              </w:rPr>
              <w:t>ui.py reescrito; .streamlit/config.toml</w:t>
            </w:r>
          </w:p>
        </w:tc>
      </w:tr>
      <w:tr>
        <w:tc>
          <w:tcPr>
            <w:tcW w:type="dxa" w:w="907"/>
            <w:vAlign w:val="center"/>
          </w:tcPr>
          <w:p>
            <w:r>
              <w:rPr>
                <w:sz w:val="20"/>
              </w:rPr>
              <w:t>27/08/2026</w:t>
            </w:r>
          </w:p>
        </w:tc>
        <w:tc>
          <w:tcPr>
            <w:tcW w:type="dxa" w:w="964"/>
            <w:vAlign w:val="center"/>
          </w:tcPr>
          <w:p>
            <w:r>
              <w:rPr>
                <w:sz w:val="20"/>
              </w:rPr>
              <w:t>Claude Sonnet 5</w:t>
            </w:r>
          </w:p>
        </w:tc>
        <w:tc>
          <w:tcPr>
            <w:tcW w:type="dxa" w:w="3515"/>
            <w:vAlign w:val="center"/>
          </w:tcPr>
          <w:p>
            <w:r>
              <w:rPr>
                <w:sz w:val="20"/>
              </w:rPr>
              <w:t>Separación de métricas individuales y justificación narrativa por candidato; nueva pestaña de análisis general agregado del lote</w:t>
            </w:r>
          </w:p>
        </w:tc>
        <w:tc>
          <w:tcPr>
            <w:tcW w:type="dxa" w:w="3118"/>
            <w:vAlign w:val="center"/>
          </w:tcPr>
          <w:p>
            <w:r>
              <w:rPr>
                <w:sz w:val="20"/>
              </w:rPr>
              <w:t>ui.py::render_metric_tiles; sección «Análisis general» en app.py</w:t>
            </w:r>
          </w:p>
        </w:tc>
      </w:tr>
      <w:tr>
        <w:tc>
          <w:tcPr>
            <w:tcW w:type="dxa" w:w="907"/>
            <w:shd w:val="clear" w:color="auto" w:fill="F2F2F2"/>
            <w:vAlign w:val="center"/>
          </w:tcPr>
          <w:p>
            <w:r>
              <w:rPr>
                <w:sz w:val="20"/>
              </w:rPr>
              <w:t>27/08/2026</w:t>
            </w:r>
          </w:p>
        </w:tc>
        <w:tc>
          <w:tcPr>
            <w:tcW w:type="dxa" w:w="964"/>
            <w:shd w:val="clear" w:color="auto" w:fill="F2F2F2"/>
            <w:vAlign w:val="center"/>
          </w:tcPr>
          <w:p>
            <w:r>
              <w:rPr>
                <w:sz w:val="20"/>
              </w:rPr>
              <w:t>Claude Sonnet 5</w:t>
            </w:r>
          </w:p>
        </w:tc>
        <w:tc>
          <w:tcPr>
            <w:tcW w:type="dxa" w:w="3515"/>
            <w:shd w:val="clear" w:color="auto" w:fill="F2F2F2"/>
            <w:vAlign w:val="center"/>
          </w:tcPr>
          <w:p>
            <w:r>
              <w:rPr>
                <w:sz w:val="20"/>
              </w:rPr>
              <w:t>Limpieza automática de CVs y resultados al cambiar de vacante, para evitar evaluar currículums contra el puesto equivocado</w:t>
            </w:r>
          </w:p>
        </w:tc>
        <w:tc>
          <w:tcPr>
            <w:tcW w:type="dxa" w:w="3118"/>
            <w:shd w:val="clear" w:color="auto" w:fill="F2F2F2"/>
            <w:vAlign w:val="center"/>
          </w:tcPr>
          <w:p>
            <w:r>
              <w:rPr>
                <w:sz w:val="20"/>
              </w:rPr>
              <w:t>app.py: reinicio de estado por cambio de family_key</w:t>
            </w:r>
          </w:p>
        </w:tc>
      </w:tr>
      <w:tr>
        <w:tc>
          <w:tcPr>
            <w:tcW w:type="dxa" w:w="907"/>
            <w:vAlign w:val="center"/>
          </w:tcPr>
          <w:p>
            <w:r>
              <w:rPr>
                <w:sz w:val="20"/>
              </w:rPr>
              <w:t>27/08/2026</w:t>
            </w:r>
          </w:p>
        </w:tc>
        <w:tc>
          <w:tcPr>
            <w:tcW w:type="dxa" w:w="964"/>
            <w:vAlign w:val="center"/>
          </w:tcPr>
          <w:p>
            <w:r>
              <w:rPr>
                <w:sz w:val="20"/>
              </w:rPr>
              <w:t>Claude Sonnet 5</w:t>
            </w:r>
          </w:p>
        </w:tc>
        <w:tc>
          <w:tcPr>
            <w:tcW w:type="dxa" w:w="3515"/>
            <w:vAlign w:val="center"/>
          </w:tcPr>
          <w:p>
            <w:r>
              <w:rPr>
                <w:sz w:val="20"/>
              </w:rPr>
              <w:t>Actualización de la documentación técnica (este informe) y creación de un documento aparte sobre el modelo de ML y el dataset sintético</w:t>
            </w:r>
          </w:p>
        </w:tc>
        <w:tc>
          <w:tcPr>
            <w:tcW w:type="dxa" w:w="3118"/>
            <w:vAlign w:val="center"/>
          </w:tcPr>
          <w:p>
            <w:r>
              <w:rPr>
                <w:sz w:val="20"/>
              </w:rPr>
              <w:t>docs/informe_tecnico.docx, docs/modelo_y_entrenamiento.docx</w:t>
            </w:r>
          </w:p>
        </w:tc>
      </w:tr>
    </w:tbl>
    <w:p>
      <w:pPr>
        <w:spacing w:before="80" w:after="200"/>
        <w:jc w:val="center"/>
      </w:pPr>
      <w:r>
        <w:rPr>
          <w:i/>
          <w:color w:val="666666"/>
          <w:sz w:val="19"/>
        </w:rPr>
        <w:t>Tabla 2. Registro de prompts — Matthew Vladimir Redín Espinel</w:t>
      </w:r>
    </w:p>
    <w:p>
      <w:pPr>
        <w:spacing w:after="80"/>
      </w:pPr>
      <w:r>
        <w:rPr>
          <w:b/>
          <w:i w:val="0"/>
          <w:sz w:val="22"/>
        </w:rPr>
        <w:t>Aportes técnicos individuales (trazabilidad de participación):</w:t>
      </w:r>
    </w:p>
    <w:p>
      <w:pPr>
        <w:spacing w:after="200"/>
        <w:jc w:val="both"/>
      </w:pPr>
      <w:r>
        <w:rPr>
          <w:b w:val="0"/>
          <w:i w:val="0"/>
          <w:sz w:val="22"/>
        </w:rPr>
        <w:t>Condujo el diseño técnico y la implementación de principio a fin: diseñó la arquitectura completa del pipeline de aprendizaje automático (extracción de características, modelo entrenado, detección de anomalías, explicabilidad SHAP), incorporó las capas de seguridad y auditoría, rediseñó la interfaz, y detectó y corrigió varios errores durante las pruebas (normalización de tildes, extracción de frases multi-palabra, falsos positivos en la detección de universidades).</w:t>
      </w:r>
    </w:p>
    <w:p>
      <w:pPr>
        <w:pStyle w:val="Heading2"/>
      </w:pPr>
      <w:r>
        <w:t>2.3 Registro de prompts — Fernando Alonso Carrera Zambrano</w:t>
      </w:r>
    </w:p>
    <w:p>
      <w:pPr>
        <w:spacing w:after="160"/>
      </w:pPr>
      <w:r>
        <w:rPr>
          <w:b w:val="0"/>
          <w:i w:val="0"/>
          <w:color w:val="333333"/>
          <w:sz w:val="21"/>
        </w:rPr>
        <w:t>Nombre: Fernando Alonso Carrera Zambrano     Rol: ideación, validación del problema y del producto</w:t>
      </w:r>
    </w:p>
    <w:tbl>
      <w:tblPr>
        <w:tblStyle w:val="TableGrid"/>
        <w:tblW w:type="auto" w:w="0"/>
        <w:tblLook w:firstColumn="1" w:firstRow="1" w:lastColumn="0" w:lastRow="0" w:noHBand="0" w:noVBand="1" w:val="04A0"/>
      </w:tblPr>
      <w:tblGrid>
        <w:gridCol w:w="2351"/>
        <w:gridCol w:w="2351"/>
        <w:gridCol w:w="2351"/>
        <w:gridCol w:w="2351"/>
      </w:tblGrid>
      <w:tr>
        <w:tc>
          <w:tcPr>
            <w:tcW w:type="dxa" w:w="907"/>
            <w:shd w:val="clear" w:color="auto" w:fill="9B1C1C"/>
            <w:vAlign w:val="center"/>
          </w:tcPr>
          <w:p>
            <w:r>
              <w:rPr>
                <w:b/>
                <w:color w:val="FFFFFF"/>
                <w:sz w:val="20"/>
              </w:rPr>
              <w:t>Fecha</w:t>
            </w:r>
          </w:p>
        </w:tc>
        <w:tc>
          <w:tcPr>
            <w:tcW w:type="dxa" w:w="964"/>
            <w:shd w:val="clear" w:color="auto" w:fill="9B1C1C"/>
            <w:vAlign w:val="center"/>
          </w:tcPr>
          <w:p>
            <w:r>
              <w:rPr>
                <w:b/>
                <w:color w:val="FFFFFF"/>
                <w:sz w:val="20"/>
              </w:rPr>
              <w:t>Modelo</w:t>
            </w:r>
          </w:p>
        </w:tc>
        <w:tc>
          <w:tcPr>
            <w:tcW w:type="dxa" w:w="3515"/>
            <w:shd w:val="clear" w:color="auto" w:fill="9B1C1C"/>
            <w:vAlign w:val="center"/>
          </w:tcPr>
          <w:p>
            <w:r>
              <w:rPr>
                <w:b/>
                <w:color w:val="FFFFFF"/>
                <w:sz w:val="20"/>
              </w:rPr>
              <w:t>Prompt principal (resumen)</w:t>
            </w:r>
          </w:p>
        </w:tc>
        <w:tc>
          <w:tcPr>
            <w:tcW w:type="dxa" w:w="3118"/>
            <w:shd w:val="clear" w:color="auto" w:fill="9B1C1C"/>
            <w:vAlign w:val="center"/>
          </w:tcPr>
          <w:p>
            <w:r>
              <w:rPr>
                <w:b/>
                <w:color w:val="FFFFFF"/>
                <w:sz w:val="20"/>
              </w:rPr>
              <w:t>Qué resolvió / generó</w:t>
            </w:r>
          </w:p>
        </w:tc>
      </w:tr>
      <w:tr>
        <w:tc>
          <w:tcPr>
            <w:tcW w:type="dxa" w:w="907"/>
            <w:vAlign w:val="center"/>
          </w:tcPr>
          <w:p>
            <w:r>
              <w:rPr>
                <w:sz w:val="20"/>
              </w:rPr>
              <w:t>25/08/2026</w:t>
            </w:r>
          </w:p>
        </w:tc>
        <w:tc>
          <w:tcPr>
            <w:tcW w:type="dxa" w:w="964"/>
            <w:vAlign w:val="center"/>
          </w:tcPr>
          <w:p>
            <w:r>
              <w:rPr>
                <w:sz w:val="20"/>
              </w:rPr>
              <w:t>Claude Sonnet 5</w:t>
            </w:r>
          </w:p>
        </w:tc>
        <w:tc>
          <w:tcPr>
            <w:tcW w:type="dxa" w:w="3515"/>
            <w:vAlign w:val="center"/>
          </w:tcPr>
          <w:p>
            <w:r>
              <w:rPr>
                <w:sz w:val="20"/>
              </w:rPr>
              <w:t>Compartió el alcance, los criterios de implementación válida/inválida y la rúbrica del curso, pidiendo propuestas que garantizaran que el modelo de IA fuera el núcleo computacional, en continuidad con la línea de trabajo previa del equipo (ciberseguridad)</w:t>
            </w:r>
          </w:p>
        </w:tc>
        <w:tc>
          <w:tcPr>
            <w:tcW w:type="dxa" w:w="3118"/>
            <w:vAlign w:val="center"/>
          </w:tcPr>
          <w:p>
            <w:r>
              <w:rPr>
                <w:sz w:val="20"/>
              </w:rPr>
              <w:t>Primer set de ideas de proyecto orientadas a ciberseguridad, evaluadas contra las categorías de resultado válidas de la rúbrica</w:t>
            </w:r>
          </w:p>
        </w:tc>
      </w:tr>
      <w:tr>
        <w:tc>
          <w:tcPr>
            <w:tcW w:type="dxa" w:w="907"/>
            <w:shd w:val="clear" w:color="auto" w:fill="F2F2F2"/>
            <w:vAlign w:val="center"/>
          </w:tcPr>
          <w:p>
            <w:r>
              <w:rPr>
                <w:sz w:val="20"/>
              </w:rPr>
              <w:t>25/08/2026</w:t>
            </w:r>
          </w:p>
        </w:tc>
        <w:tc>
          <w:tcPr>
            <w:tcW w:type="dxa" w:w="964"/>
            <w:shd w:val="clear" w:color="auto" w:fill="F2F2F2"/>
            <w:vAlign w:val="center"/>
          </w:tcPr>
          <w:p>
            <w:r>
              <w:rPr>
                <w:sz w:val="20"/>
              </w:rPr>
              <w:t>Claude Sonnet 5</w:t>
            </w:r>
          </w:p>
        </w:tc>
        <w:tc>
          <w:tcPr>
            <w:tcW w:type="dxa" w:w="3515"/>
            <w:shd w:val="clear" w:color="auto" w:fill="F2F2F2"/>
            <w:vAlign w:val="center"/>
          </w:tcPr>
          <w:p>
            <w:r>
              <w:rPr>
                <w:sz w:val="20"/>
              </w:rPr>
              <w:t>Pidió ampliar el abanico de ideas fuera del dominio de ciberseguridad, manteniendo el criterio de que el modelo de IA fuera el componente central y no una envoltura de una herramienta externa</w:t>
            </w:r>
          </w:p>
        </w:tc>
        <w:tc>
          <w:tcPr>
            <w:tcW w:type="dxa" w:w="3118"/>
            <w:shd w:val="clear" w:color="auto" w:fill="F2F2F2"/>
            <w:vAlign w:val="center"/>
          </w:tcPr>
          <w:p>
            <w:r>
              <w:rPr>
                <w:sz w:val="20"/>
              </w:rPr>
              <w:t>Conjunto ampliado de propuestas (clasificación de texto, predicción de precios, recomendación, visión por computador, chatbot especializado, detección de fraude/abandono)</w:t>
            </w:r>
          </w:p>
        </w:tc>
      </w:tr>
      <w:tr>
        <w:tc>
          <w:tcPr>
            <w:tcW w:type="dxa" w:w="907"/>
            <w:vAlign w:val="center"/>
          </w:tcPr>
          <w:p>
            <w:r>
              <w:rPr>
                <w:sz w:val="20"/>
              </w:rPr>
              <w:t>25/08/2026</w:t>
            </w:r>
          </w:p>
        </w:tc>
        <w:tc>
          <w:tcPr>
            <w:tcW w:type="dxa" w:w="964"/>
            <w:vAlign w:val="center"/>
          </w:tcPr>
          <w:p>
            <w:r>
              <w:rPr>
                <w:sz w:val="20"/>
              </w:rPr>
              <w:t>Claude Sonnet 5</w:t>
            </w:r>
          </w:p>
        </w:tc>
        <w:tc>
          <w:tcPr>
            <w:tcW w:type="dxa" w:w="3515"/>
            <w:vAlign w:val="center"/>
          </w:tcPr>
          <w:p>
            <w:r>
              <w:rPr>
                <w:sz w:val="20"/>
              </w:rPr>
              <w:t>Señaló que las propuestas partían de la técnica y no de un problema real, en línea con el punto 4.1 de la guía (Definición del Problema), y pidió reformularlas priorizando primero el problema y su impacto</w:t>
            </w:r>
          </w:p>
        </w:tc>
        <w:tc>
          <w:tcPr>
            <w:tcW w:type="dxa" w:w="3118"/>
            <w:vAlign w:val="center"/>
          </w:tcPr>
          <w:p>
            <w:r>
              <w:rPr>
                <w:sz w:val="20"/>
              </w:rPr>
              <w:t>Reformulación en formato problema→solución; el equipo adoptó el cribado de hojas de vida como proyecto final, luego desarrollado en profundidad por el Integrante 1</w:t>
            </w:r>
          </w:p>
        </w:tc>
      </w:tr>
    </w:tbl>
    <w:p>
      <w:pPr>
        <w:spacing w:before="80" w:after="200"/>
        <w:jc w:val="center"/>
      </w:pPr>
      <w:r>
        <w:rPr>
          <w:i/>
          <w:color w:val="666666"/>
          <w:sz w:val="19"/>
        </w:rPr>
        <w:t>Tabla 3. Registro de prompts — Fernando Alonso Carrera Zambrano</w:t>
      </w:r>
    </w:p>
    <w:p>
      <w:pPr>
        <w:spacing w:after="80"/>
      </w:pPr>
      <w:r>
        <w:rPr>
          <w:b/>
          <w:i w:val="0"/>
          <w:sz w:val="22"/>
        </w:rPr>
        <w:t>Aportes técnicos individuales (trazabilidad de participación):</w:t>
      </w:r>
    </w:p>
    <w:p>
      <w:pPr>
        <w:spacing w:after="80"/>
        <w:jc w:val="both"/>
      </w:pPr>
      <w:r>
        <w:rPr>
          <w:b w:val="0"/>
          <w:i w:val="0"/>
          <w:sz w:val="22"/>
        </w:rPr>
        <w:t>Condujo la fase de ideación y validación del problema: exploró alternativas de proyecto con apoyo de IA, contrastándolas contra los criterios de la rúbrica del curso, y fue quien señaló que las primeras propuestas partían de la técnica y no de un problema real, lo que llevó a reformularlas en clave de impacto y a seleccionar el cribado de hojas de vida como proyecto final. Posteriormente, validó el panel interactivo desde la perspectiva de un usuario final (reclutador): probó el flujo completo con currículums reales, revisó que el ranking, las explicaciones y las alertas de auditoría fueran claras e interpretables, y participó en la revisión de la documentación técnica.</w:t>
      </w:r>
    </w:p>
    <w:p>
      <w:r>
        <w:br w:type="page"/>
      </w:r>
    </w:p>
    <w:p>
      <w:pPr>
        <w:pStyle w:val="Heading1"/>
        <w:pBdr>
          <w:bottom w:val="single" w:sz="6" w:space="4" w:color="9B1C1C"/>
        </w:pBdr>
      </w:pPr>
      <w:r>
        <w:t>3. Arquitectura de Implementación</w:t>
      </w:r>
    </w:p>
    <w:p>
      <w:pPr>
        <w:spacing w:after="160"/>
        <w:jc w:val="both"/>
      </w:pPr>
      <w:r>
        <w:rPr>
          <w:b w:val="0"/>
          <w:i w:val="0"/>
          <w:sz w:val="22"/>
        </w:rPr>
        <w:t>El flujo de integración de datos entre los componentes, los modelos y la interfaz final se resume en la Figura 1.</w:t>
      </w:r>
    </w:p>
    <w:tbl>
      <w:tblPr>
        <w:tblW w:type="auto" w:w="0"/>
        <w:tblLook w:firstColumn="1" w:firstRow="1" w:lastColumn="0" w:lastRow="0" w:noHBand="0" w:noVBand="1" w:val="04A0"/>
      </w:tblPr>
      <w:tblGrid>
        <w:gridCol w:w="9071"/>
      </w:tblGrid>
      <w:tr>
        <w:tc>
          <w:tcPr>
            <w:tcW w:type="dxa" w:w="9406"/>
            <w:shd w:val="clear" w:color="auto" w:fill="F2F2F2"/>
            <w:tcBorders>
              <w:top w:val="single" w:sz="6" w:color="9B1C1C"/>
              <w:left w:val="single" w:sz="6" w:color="9B1C1C"/>
              <w:bottom w:val="single" w:sz="6" w:color="9B1C1C"/>
              <w:right w:val="single" w:sz="6" w:color="9B1C1C"/>
            </w:tcBorders>
            <w:vAlign w:val="center"/>
          </w:tcPr>
          <w:p>
            <w:pPr>
              <w:spacing w:after="40"/>
            </w:pPr>
            <w:r>
              <w:rPr>
                <w:b/>
                <w:color w:val="9B1C1C"/>
                <w:sz w:val="23"/>
              </w:rPr>
              <w:t>Entradas</w:t>
            </w:r>
          </w:p>
          <w:p>
            <w:r>
              <w:rPr>
                <w:color w:val="333333"/>
                <w:sz w:val="21"/>
              </w:rPr>
              <w:t>Currículum del candidato (PDF, DOCX o TXT) y descripción de la vacante (texto).</w:t>
            </w:r>
          </w:p>
        </w:tc>
      </w:tr>
    </w:tbl>
    <w:p>
      <w:pPr>
        <w:spacing w:before="40" w:after="40"/>
        <w:jc w:val="center"/>
      </w:pPr>
      <w:r>
        <w:rPr>
          <w:b/>
          <w:color w:val="666666"/>
          <w:sz w:val="32"/>
        </w:rPr>
        <w:t>↓</w:t>
      </w:r>
    </w:p>
    <w:tbl>
      <w:tblPr>
        <w:tblW w:type="auto" w:w="0"/>
        <w:tblLook w:firstColumn="1" w:firstRow="1" w:lastColumn="0" w:lastRow="0" w:noHBand="0" w:noVBand="1" w:val="04A0"/>
      </w:tblPr>
      <w:tblGrid>
        <w:gridCol w:w="9071"/>
      </w:tblGrid>
      <w:tr>
        <w:tc>
          <w:tcPr>
            <w:tcW w:type="dxa" w:w="9406"/>
            <w:shd w:val="clear" w:color="auto" w:fill="F2F2F2"/>
            <w:tcBorders>
              <w:top w:val="single" w:sz="6" w:color="9B1C1C"/>
              <w:left w:val="single" w:sz="6" w:color="9B1C1C"/>
              <w:bottom w:val="single" w:sz="6" w:color="9B1C1C"/>
              <w:right w:val="single" w:sz="6" w:color="9B1C1C"/>
            </w:tcBorders>
            <w:vAlign w:val="center"/>
          </w:tcPr>
          <w:p>
            <w:pPr>
              <w:spacing w:after="40"/>
            </w:pPr>
            <w:r>
              <w:rPr>
                <w:b/>
                <w:color w:val="9B1C1C"/>
                <w:sz w:val="23"/>
              </w:rPr>
              <w:t>Extracción de texto y habilidades</w:t>
            </w:r>
          </w:p>
          <w:p>
            <w:r>
              <w:rPr>
                <w:color w:val="333333"/>
                <w:sz w:val="21"/>
              </w:rPr>
              <w:t>parsing.py extrae el texto crudo; taxonomy.py detecta habilidades mediante una taxonomía propia con coincidencia exacta y fuzzy matching (rapidfuzz), sin recurrir a ningún modelo de lenguaje externo.</w:t>
            </w:r>
          </w:p>
        </w:tc>
      </w:tr>
    </w:tbl>
    <w:p>
      <w:pPr>
        <w:spacing w:before="40" w:after="40"/>
        <w:jc w:val="center"/>
      </w:pPr>
      <w:r>
        <w:rPr>
          <w:b/>
          <w:color w:val="666666"/>
          <w:sz w:val="32"/>
        </w:rPr>
        <w:t>↓</w:t>
      </w:r>
    </w:p>
    <w:tbl>
      <w:tblPr>
        <w:tblW w:type="auto" w:w="0"/>
        <w:tblLook w:firstColumn="1" w:firstRow="1" w:lastColumn="0" w:lastRow="0" w:noHBand="0" w:noVBand="1" w:val="04A0"/>
      </w:tblPr>
      <w:tblGrid>
        <w:gridCol w:w="9071"/>
      </w:tblGrid>
      <w:tr>
        <w:tc>
          <w:tcPr>
            <w:tcW w:type="dxa" w:w="9406"/>
            <w:shd w:val="clear" w:color="auto" w:fill="F2F2F2"/>
            <w:tcBorders>
              <w:top w:val="single" w:sz="6" w:color="9B1C1C"/>
              <w:left w:val="single" w:sz="6" w:color="9B1C1C"/>
              <w:bottom w:val="single" w:sz="6" w:color="9B1C1C"/>
              <w:right w:val="single" w:sz="6" w:color="9B1C1C"/>
            </w:tcBorders>
            <w:vAlign w:val="center"/>
          </w:tcPr>
          <w:p>
            <w:pPr>
              <w:spacing w:after="40"/>
            </w:pPr>
            <w:r>
              <w:rPr>
                <w:b/>
                <w:color w:val="9B1C1C"/>
                <w:sz w:val="23"/>
              </w:rPr>
              <w:t>Ingeniería de características</w:t>
            </w:r>
          </w:p>
          <w:p>
            <w:r>
              <w:rPr>
                <w:color w:val="333333"/>
                <w:sz w:val="21"/>
              </w:rPr>
              <w:t>features.py calcula la cobertura de habilidades obligatorias y deseables, los años de experiencia y el nivel educativo frente a lo requerido, y la similitud semántica entre el currículum y la vacante mediante embeddings locales (sentence-transformers).</w:t>
            </w:r>
          </w:p>
        </w:tc>
      </w:tr>
    </w:tbl>
    <w:p>
      <w:pPr>
        <w:spacing w:before="40" w:after="40"/>
        <w:jc w:val="center"/>
      </w:pPr>
      <w:r>
        <w:rPr>
          <w:b/>
          <w:color w:val="666666"/>
          <w:sz w:val="32"/>
        </w:rPr>
        <w:t>↓</w:t>
      </w:r>
    </w:p>
    <w:tbl>
      <w:tblPr>
        <w:tblW w:type="auto" w:w="0"/>
        <w:tblLook w:firstColumn="1" w:firstRow="1" w:lastColumn="0" w:lastRow="0" w:noHBand="0" w:noVBand="1" w:val="04A0"/>
      </w:tblPr>
      <w:tblGrid>
        <w:gridCol w:w="9071"/>
      </w:tblGrid>
      <w:tr>
        <w:tc>
          <w:tcPr>
            <w:tcW w:type="dxa" w:w="9406"/>
            <w:shd w:val="clear" w:color="auto" w:fill="F2F2F2"/>
            <w:tcBorders>
              <w:top w:val="single" w:sz="6" w:color="9B1C1C"/>
              <w:left w:val="single" w:sz="6" w:color="9B1C1C"/>
              <w:bottom w:val="single" w:sz="6" w:color="9B1C1C"/>
              <w:right w:val="single" w:sz="6" w:color="9B1C1C"/>
            </w:tcBorders>
            <w:vAlign w:val="center"/>
          </w:tcPr>
          <w:p>
            <w:pPr>
              <w:spacing w:after="40"/>
            </w:pPr>
            <w:r>
              <w:rPr>
                <w:b/>
                <w:color w:val="9B1C1C"/>
                <w:sz w:val="23"/>
              </w:rPr>
              <w:t>Modelo de IA (núcleo del sistema)</w:t>
            </w:r>
          </w:p>
          <w:p>
            <w:r>
              <w:rPr>
                <w:color w:val="333333"/>
                <w:sz w:val="21"/>
              </w:rPr>
              <w:t>Un GradientBoostingClassifier de scikit-learn, entrenado con datos sintéticos, combina las características anteriores en un score de ajuste probabilístico (0–100 %).</w:t>
            </w:r>
          </w:p>
        </w:tc>
      </w:tr>
    </w:tbl>
    <w:p>
      <w:pPr>
        <w:spacing w:before="40" w:after="40"/>
        <w:jc w:val="center"/>
      </w:pPr>
      <w:r>
        <w:rPr>
          <w:b/>
          <w:color w:val="666666"/>
          <w:sz w:val="32"/>
        </w:rPr>
        <w:t>↓</w:t>
      </w:r>
    </w:p>
    <w:tbl>
      <w:tblPr>
        <w:tblW w:type="auto" w:w="0"/>
        <w:tblLook w:firstColumn="1" w:firstRow="1" w:lastColumn="0" w:lastRow="0" w:noHBand="0" w:noVBand="1" w:val="04A0"/>
      </w:tblPr>
      <w:tblGrid>
        <w:gridCol w:w="9071"/>
      </w:tblGrid>
      <w:tr>
        <w:tc>
          <w:tcPr>
            <w:tcW w:type="dxa" w:w="9406"/>
            <w:shd w:val="clear" w:color="auto" w:fill="F2F2F2"/>
            <w:tcBorders>
              <w:top w:val="single" w:sz="6" w:color="9B1C1C"/>
              <w:left w:val="single" w:sz="6" w:color="9B1C1C"/>
              <w:bottom w:val="single" w:sz="6" w:color="9B1C1C"/>
              <w:right w:val="single" w:sz="6" w:color="9B1C1C"/>
            </w:tcBorders>
            <w:vAlign w:val="center"/>
          </w:tcPr>
          <w:p>
            <w:pPr>
              <w:spacing w:after="40"/>
            </w:pPr>
            <w:r>
              <w:rPr>
                <w:b/>
                <w:color w:val="9B1C1C"/>
                <w:sz w:val="23"/>
              </w:rPr>
              <w:t>Capas de análisis en paralelo</w:t>
            </w:r>
          </w:p>
          <w:p>
            <w:r>
              <w:rPr>
                <w:color w:val="333333"/>
                <w:sz w:val="21"/>
              </w:rPr>
              <w:t>Un IsolationForest detecta currículums atípicos; SHAP explica el score obtenido; se compara cada currículum con los demás del lote para detectar duplicados; y se audita el resultado en busca de sesgos estructurales mediante la regla del 80 %.</w:t>
            </w:r>
          </w:p>
        </w:tc>
      </w:tr>
    </w:tbl>
    <w:p>
      <w:pPr>
        <w:spacing w:before="40" w:after="40"/>
        <w:jc w:val="center"/>
      </w:pPr>
      <w:r>
        <w:rPr>
          <w:b/>
          <w:color w:val="666666"/>
          <w:sz w:val="32"/>
        </w:rPr>
        <w:t>↓</w:t>
      </w:r>
    </w:p>
    <w:tbl>
      <w:tblPr>
        <w:tblW w:type="auto" w:w="0"/>
        <w:tblLook w:firstColumn="1" w:firstRow="1" w:lastColumn="0" w:lastRow="0" w:noHBand="0" w:noVBand="1" w:val="04A0"/>
      </w:tblPr>
      <w:tblGrid>
        <w:gridCol w:w="9071"/>
      </w:tblGrid>
      <w:tr>
        <w:tc>
          <w:tcPr>
            <w:tcW w:type="dxa" w:w="9406"/>
            <w:shd w:val="clear" w:color="auto" w:fill="F2F2F2"/>
            <w:tcBorders>
              <w:top w:val="single" w:sz="6" w:color="9B1C1C"/>
              <w:left w:val="single" w:sz="6" w:color="9B1C1C"/>
              <w:bottom w:val="single" w:sz="6" w:color="9B1C1C"/>
              <w:right w:val="single" w:sz="6" w:color="9B1C1C"/>
            </w:tcBorders>
            <w:vAlign w:val="center"/>
          </w:tcPr>
          <w:p>
            <w:pPr>
              <w:spacing w:after="40"/>
            </w:pPr>
            <w:r>
              <w:rPr>
                <w:b/>
                <w:color w:val="9B1C1C"/>
                <w:sz w:val="23"/>
              </w:rPr>
              <w:t>Generación de salida</w:t>
            </w:r>
          </w:p>
          <w:p>
            <w:r>
              <w:rPr>
                <w:color w:val="333333"/>
                <w:sz w:val="21"/>
              </w:rPr>
              <w:t>justify.py redacta una justificación extractiva en lenguaje natural, sin modelo de lenguaje externo; upskilling.py recomienda recursos de mejora a los candidatos «casi aptos».</w:t>
            </w:r>
          </w:p>
        </w:tc>
      </w:tr>
    </w:tbl>
    <w:p>
      <w:pPr>
        <w:spacing w:before="40" w:after="40"/>
        <w:jc w:val="center"/>
      </w:pPr>
      <w:r>
        <w:rPr>
          <w:b/>
          <w:color w:val="666666"/>
          <w:sz w:val="32"/>
        </w:rPr>
        <w:t>↓</w:t>
      </w:r>
    </w:p>
    <w:tbl>
      <w:tblPr>
        <w:tblW w:type="auto" w:w="0"/>
        <w:tblLook w:firstColumn="1" w:firstRow="1" w:lastColumn="0" w:lastRow="0" w:noHBand="0" w:noVBand="1" w:val="04A0"/>
      </w:tblPr>
      <w:tblGrid>
        <w:gridCol w:w="9071"/>
      </w:tblGrid>
      <w:tr>
        <w:tc>
          <w:tcPr>
            <w:tcW w:type="dxa" w:w="9406"/>
            <w:shd w:val="clear" w:color="auto" w:fill="F2F2F2"/>
            <w:tcBorders>
              <w:top w:val="single" w:sz="6" w:color="9B1C1C"/>
              <w:left w:val="single" w:sz="6" w:color="9B1C1C"/>
              <w:bottom w:val="single" w:sz="6" w:color="9B1C1C"/>
              <w:right w:val="single" w:sz="6" w:color="9B1C1C"/>
            </w:tcBorders>
            <w:vAlign w:val="center"/>
          </w:tcPr>
          <w:p>
            <w:pPr>
              <w:spacing w:after="40"/>
            </w:pPr>
            <w:r>
              <w:rPr>
                <w:b/>
                <w:color w:val="9B1C1C"/>
                <w:sz w:val="23"/>
              </w:rPr>
              <w:t>Interfaz (Streamlit)</w:t>
            </w:r>
          </w:p>
          <w:p>
            <w:r>
              <w:rPr>
                <w:color w:val="333333"/>
                <w:sz w:val="21"/>
              </w:rPr>
              <w:t>app.py presenta el ranking de candidatos, el detalle explicado de cada uno, el panel de auditoría de sesgos y las alertas de duplicados.</w:t>
            </w:r>
          </w:p>
        </w:tc>
      </w:tr>
    </w:tbl>
    <w:p>
      <w:pPr>
        <w:spacing w:before="80" w:after="200"/>
        <w:jc w:val="center"/>
      </w:pPr>
      <w:r>
        <w:rPr>
          <w:i/>
          <w:color w:val="666666"/>
          <w:sz w:val="19"/>
        </w:rPr>
        <w:t>Figura 1. Diagrama de flujo del pipeline de datos</w:t>
      </w:r>
    </w:p>
    <w:p>
      <w:pPr>
        <w:spacing w:after="120"/>
      </w:pPr>
      <w:r>
        <w:rPr>
          <w:b w:val="0"/>
          <w:i w:val="0"/>
          <w:sz w:val="22"/>
        </w:rPr>
      </w:r>
    </w:p>
    <w:p>
      <w:pPr>
        <w:pStyle w:val="Heading2"/>
      </w:pPr>
      <w:r>
        <w:t>3.1 Responsabilidad de cada módulo</w:t>
      </w:r>
    </w:p>
    <w:tbl>
      <w:tblPr>
        <w:tblStyle w:val="TableGrid"/>
        <w:tblW w:type="auto" w:w="0"/>
        <w:tblLook w:firstColumn="1" w:firstRow="1" w:lastColumn="0" w:lastRow="0" w:noHBand="0" w:noVBand="1" w:val="04A0"/>
      </w:tblPr>
      <w:tblGrid>
        <w:gridCol w:w="4703"/>
        <w:gridCol w:w="4703"/>
      </w:tblGrid>
      <w:tr>
        <w:tc>
          <w:tcPr>
            <w:tcW w:type="dxa" w:w="2551"/>
            <w:shd w:val="clear" w:color="auto" w:fill="9B1C1C"/>
            <w:vAlign w:val="center"/>
          </w:tcPr>
          <w:p>
            <w:r>
              <w:rPr>
                <w:b/>
                <w:color w:val="FFFFFF"/>
                <w:sz w:val="20"/>
              </w:rPr>
              <w:t>Módulo</w:t>
            </w:r>
          </w:p>
        </w:tc>
        <w:tc>
          <w:tcPr>
            <w:tcW w:type="dxa" w:w="6236"/>
            <w:shd w:val="clear" w:color="auto" w:fill="9B1C1C"/>
            <w:vAlign w:val="center"/>
          </w:tcPr>
          <w:p>
            <w:r>
              <w:rPr>
                <w:b/>
                <w:color w:val="FFFFFF"/>
                <w:sz w:val="20"/>
              </w:rPr>
              <w:t>Responsabilidad</w:t>
            </w:r>
          </w:p>
        </w:tc>
      </w:tr>
      <w:tr>
        <w:tc>
          <w:tcPr>
            <w:tcW w:type="dxa" w:w="2551"/>
            <w:vAlign w:val="center"/>
          </w:tcPr>
          <w:p>
            <w:r>
              <w:rPr>
                <w:sz w:val="20"/>
              </w:rPr>
              <w:t>parsing.py</w:t>
            </w:r>
          </w:p>
        </w:tc>
        <w:tc>
          <w:tcPr>
            <w:tcW w:type="dxa" w:w="6236"/>
            <w:vAlign w:val="center"/>
          </w:tcPr>
          <w:p>
            <w:r>
              <w:rPr>
                <w:sz w:val="20"/>
              </w:rPr>
              <w:t>Extrae texto crudo de PDF/DOCX/TXT</w:t>
            </w:r>
          </w:p>
        </w:tc>
      </w:tr>
      <w:tr>
        <w:tc>
          <w:tcPr>
            <w:tcW w:type="dxa" w:w="2551"/>
            <w:shd w:val="clear" w:color="auto" w:fill="F2F2F2"/>
            <w:vAlign w:val="center"/>
          </w:tcPr>
          <w:p>
            <w:r>
              <w:rPr>
                <w:sz w:val="20"/>
              </w:rPr>
              <w:t>taxonomy.py</w:t>
            </w:r>
          </w:p>
        </w:tc>
        <w:tc>
          <w:tcPr>
            <w:tcW w:type="dxa" w:w="6236"/>
            <w:shd w:val="clear" w:color="auto" w:fill="F2F2F2"/>
            <w:vAlign w:val="center"/>
          </w:tcPr>
          <w:p>
            <w:r>
              <w:rPr>
                <w:sz w:val="20"/>
              </w:rPr>
              <w:t>Detección de habilidades: taxonomía propia y fuzzy matching, sin API externa</w:t>
            </w:r>
          </w:p>
        </w:tc>
      </w:tr>
      <w:tr>
        <w:tc>
          <w:tcPr>
            <w:tcW w:type="dxa" w:w="2551"/>
            <w:vAlign w:val="center"/>
          </w:tcPr>
          <w:p>
            <w:r>
              <w:rPr>
                <w:sz w:val="20"/>
              </w:rPr>
              <w:t>features.py</w:t>
            </w:r>
          </w:p>
        </w:tc>
        <w:tc>
          <w:tcPr>
            <w:tcW w:type="dxa" w:w="6236"/>
            <w:vAlign w:val="center"/>
          </w:tcPr>
          <w:p>
            <w:r>
              <w:rPr>
                <w:sz w:val="20"/>
              </w:rPr>
              <w:t>Cobertura de habilidades, experiencia, educación y similitud semántica (embeddings)</w:t>
            </w:r>
          </w:p>
        </w:tc>
      </w:tr>
      <w:tr>
        <w:tc>
          <w:tcPr>
            <w:tcW w:type="dxa" w:w="2551"/>
            <w:shd w:val="clear" w:color="auto" w:fill="F2F2F2"/>
            <w:vAlign w:val="center"/>
          </w:tcPr>
          <w:p>
            <w:r>
              <w:rPr>
                <w:sz w:val="20"/>
              </w:rPr>
              <w:t>synthetic_data.py</w:t>
            </w:r>
          </w:p>
        </w:tc>
        <w:tc>
          <w:tcPr>
            <w:tcW w:type="dxa" w:w="6236"/>
            <w:shd w:val="clear" w:color="auto" w:fill="F2F2F2"/>
            <w:vAlign w:val="center"/>
          </w:tcPr>
          <w:p>
            <w:r>
              <w:rPr>
                <w:sz w:val="20"/>
              </w:rPr>
              <w:t>Genera el dataset sintético de entrenamiento con etiqueta ground-truth transparente</w:t>
            </w:r>
          </w:p>
        </w:tc>
      </w:tr>
      <w:tr>
        <w:tc>
          <w:tcPr>
            <w:tcW w:type="dxa" w:w="2551"/>
            <w:vAlign w:val="center"/>
          </w:tcPr>
          <w:p>
            <w:r>
              <w:rPr>
                <w:sz w:val="20"/>
              </w:rPr>
              <w:t>train_model.py</w:t>
            </w:r>
          </w:p>
        </w:tc>
        <w:tc>
          <w:tcPr>
            <w:tcW w:type="dxa" w:w="6236"/>
            <w:vAlign w:val="center"/>
          </w:tcPr>
          <w:p>
            <w:r>
              <w:rPr>
                <w:sz w:val="20"/>
              </w:rPr>
              <w:t>Entrena y evalúa el modelo de fit-score (núcleo de IA)</w:t>
            </w:r>
          </w:p>
        </w:tc>
      </w:tr>
      <w:tr>
        <w:tc>
          <w:tcPr>
            <w:tcW w:type="dxa" w:w="2551"/>
            <w:shd w:val="clear" w:color="auto" w:fill="F2F2F2"/>
            <w:vAlign w:val="center"/>
          </w:tcPr>
          <w:p>
            <w:r>
              <w:rPr>
                <w:sz w:val="20"/>
              </w:rPr>
              <w:t>anomaly.py</w:t>
            </w:r>
          </w:p>
        </w:tc>
        <w:tc>
          <w:tcPr>
            <w:tcW w:type="dxa" w:w="6236"/>
            <w:shd w:val="clear" w:color="auto" w:fill="F2F2F2"/>
            <w:vAlign w:val="center"/>
          </w:tcPr>
          <w:p>
            <w:r>
              <w:rPr>
                <w:sz w:val="20"/>
              </w:rPr>
              <w:t>Detección de currículums atípicos (keyword-stuffing) con IsolationForest</w:t>
            </w:r>
          </w:p>
        </w:tc>
      </w:tr>
      <w:tr>
        <w:tc>
          <w:tcPr>
            <w:tcW w:type="dxa" w:w="2551"/>
            <w:vAlign w:val="center"/>
          </w:tcPr>
          <w:p>
            <w:r>
              <w:rPr>
                <w:sz w:val="20"/>
              </w:rPr>
              <w:t>explainability.py</w:t>
            </w:r>
          </w:p>
        </w:tc>
        <w:tc>
          <w:tcPr>
            <w:tcW w:type="dxa" w:w="6236"/>
            <w:vAlign w:val="center"/>
          </w:tcPr>
          <w:p>
            <w:r>
              <w:rPr>
                <w:sz w:val="20"/>
              </w:rPr>
              <w:t>Explicación SHAP de cada predicción individual</w:t>
            </w:r>
          </w:p>
        </w:tc>
      </w:tr>
      <w:tr>
        <w:tc>
          <w:tcPr>
            <w:tcW w:type="dxa" w:w="2551"/>
            <w:shd w:val="clear" w:color="auto" w:fill="F2F2F2"/>
            <w:vAlign w:val="center"/>
          </w:tcPr>
          <w:p>
            <w:r>
              <w:rPr>
                <w:sz w:val="20"/>
              </w:rPr>
              <w:t>justify.py</w:t>
            </w:r>
          </w:p>
        </w:tc>
        <w:tc>
          <w:tcPr>
            <w:tcW w:type="dxa" w:w="6236"/>
            <w:shd w:val="clear" w:color="auto" w:fill="F2F2F2"/>
            <w:vAlign w:val="center"/>
          </w:tcPr>
          <w:p>
            <w:r>
              <w:rPr>
                <w:sz w:val="20"/>
              </w:rPr>
              <w:t>Justificación en lenguaje natural, extractiva, sin modelo de lenguaje externo</w:t>
            </w:r>
          </w:p>
        </w:tc>
      </w:tr>
      <w:tr>
        <w:tc>
          <w:tcPr>
            <w:tcW w:type="dxa" w:w="2551"/>
            <w:vAlign w:val="center"/>
          </w:tcPr>
          <w:p>
            <w:r>
              <w:rPr>
                <w:sz w:val="20"/>
              </w:rPr>
              <w:t>upskilling.py</w:t>
            </w:r>
          </w:p>
        </w:tc>
        <w:tc>
          <w:tcPr>
            <w:tcW w:type="dxa" w:w="6236"/>
            <w:vAlign w:val="center"/>
          </w:tcPr>
          <w:p>
            <w:r>
              <w:rPr>
                <w:sz w:val="20"/>
              </w:rPr>
              <w:t>Recomendaciones de mejora para candidatos casi aptos</w:t>
            </w:r>
          </w:p>
        </w:tc>
      </w:tr>
      <w:tr>
        <w:tc>
          <w:tcPr>
            <w:tcW w:type="dxa" w:w="2551"/>
            <w:shd w:val="clear" w:color="auto" w:fill="F2F2F2"/>
            <w:vAlign w:val="center"/>
          </w:tcPr>
          <w:p>
            <w:r>
              <w:rPr>
                <w:sz w:val="20"/>
              </w:rPr>
              <w:t>duplicates.py</w:t>
            </w:r>
          </w:p>
        </w:tc>
        <w:tc>
          <w:tcPr>
            <w:tcW w:type="dxa" w:w="6236"/>
            <w:shd w:val="clear" w:color="auto" w:fill="F2F2F2"/>
            <w:vAlign w:val="center"/>
          </w:tcPr>
          <w:p>
            <w:r>
              <w:rPr>
                <w:sz w:val="20"/>
              </w:rPr>
              <w:t>Detección de currículums duplicados o plagiados dentro de un mismo lote</w:t>
            </w:r>
          </w:p>
        </w:tc>
      </w:tr>
      <w:tr>
        <w:tc>
          <w:tcPr>
            <w:tcW w:type="dxa" w:w="2551"/>
            <w:vAlign w:val="center"/>
          </w:tcPr>
          <w:p>
            <w:r>
              <w:rPr>
                <w:sz w:val="20"/>
              </w:rPr>
              <w:t>fairness.py</w:t>
            </w:r>
          </w:p>
        </w:tc>
        <w:tc>
          <w:tcPr>
            <w:tcW w:type="dxa" w:w="6236"/>
            <w:vAlign w:val="center"/>
          </w:tcPr>
          <w:p>
            <w:r>
              <w:rPr>
                <w:sz w:val="20"/>
              </w:rPr>
              <w:t>Auditoría de sesgos del resultado (no interviene en el cálculo del score)</w:t>
            </w:r>
          </w:p>
        </w:tc>
      </w:tr>
      <w:tr>
        <w:tc>
          <w:tcPr>
            <w:tcW w:type="dxa" w:w="2551"/>
            <w:shd w:val="clear" w:color="auto" w:fill="F2F2F2"/>
            <w:vAlign w:val="center"/>
          </w:tcPr>
          <w:p>
            <w:r>
              <w:rPr>
                <w:sz w:val="20"/>
              </w:rPr>
              <w:t>scoring_pipeline.py</w:t>
            </w:r>
          </w:p>
        </w:tc>
        <w:tc>
          <w:tcPr>
            <w:tcW w:type="dxa" w:w="6236"/>
            <w:shd w:val="clear" w:color="auto" w:fill="F2F2F2"/>
            <w:vAlign w:val="center"/>
          </w:tcPr>
          <w:p>
            <w:r>
              <w:rPr>
                <w:sz w:val="20"/>
              </w:rPr>
              <w:t>Orquesta el flujo completo de extremo a extremo</w:t>
            </w:r>
          </w:p>
        </w:tc>
      </w:tr>
      <w:tr>
        <w:tc>
          <w:tcPr>
            <w:tcW w:type="dxa" w:w="2551"/>
            <w:vAlign w:val="center"/>
          </w:tcPr>
          <w:p>
            <w:r>
              <w:rPr>
                <w:sz w:val="20"/>
              </w:rPr>
              <w:t>app.py / ui.py</w:t>
            </w:r>
          </w:p>
        </w:tc>
        <w:tc>
          <w:tcPr>
            <w:tcW w:type="dxa" w:w="6236"/>
            <w:vAlign w:val="center"/>
          </w:tcPr>
          <w:p>
            <w:r>
              <w:rPr>
                <w:sz w:val="20"/>
              </w:rPr>
              <w:t>Interfaz Streamlit (lógica y capa visual)</w:t>
            </w:r>
          </w:p>
        </w:tc>
      </w:tr>
      <w:tr>
        <w:tc>
          <w:tcPr>
            <w:tcW w:type="dxa" w:w="2551"/>
            <w:shd w:val="clear" w:color="auto" w:fill="F2F2F2"/>
            <w:vAlign w:val="center"/>
          </w:tcPr>
          <w:p>
            <w:r>
              <w:rPr>
                <w:sz w:val="20"/>
              </w:rPr>
              <w:t>tests/test_pipeline.py</w:t>
            </w:r>
          </w:p>
        </w:tc>
        <w:tc>
          <w:tcPr>
            <w:tcW w:type="dxa" w:w="6236"/>
            <w:shd w:val="clear" w:color="auto" w:fill="F2F2F2"/>
            <w:vAlign w:val="center"/>
          </w:tcPr>
          <w:p>
            <w:r>
              <w:rPr>
                <w:sz w:val="20"/>
              </w:rPr>
              <w:t>Pruebas automatizadas de integración del pipeline completo</w:t>
            </w:r>
          </w:p>
        </w:tc>
      </w:tr>
    </w:tbl>
    <w:p>
      <w:pPr>
        <w:spacing w:before="80" w:after="200"/>
        <w:jc w:val="center"/>
      </w:pPr>
      <w:r>
        <w:rPr>
          <w:i/>
          <w:color w:val="666666"/>
          <w:sz w:val="19"/>
        </w:rPr>
        <w:t>Tabla 4. Responsabilidad de cada módulo del sistema</w:t>
      </w:r>
    </w:p>
    <w:p>
      <w:pPr>
        <w:spacing w:after="160"/>
      </w:pPr>
      <w:r>
        <w:rPr>
          <w:b w:val="0"/>
          <w:i w:val="0"/>
          <w:sz w:val="22"/>
        </w:rPr>
      </w:r>
    </w:p>
    <w:p>
      <w:pPr>
        <w:pStyle w:val="Heading2"/>
      </w:pPr>
      <w:r>
        <w:t>3.2 Integraciones externas</w:t>
      </w:r>
    </w:p>
    <w:p>
      <w:pPr>
        <w:spacing w:after="160"/>
        <w:jc w:val="both"/>
      </w:pPr>
      <w:r>
        <w:rPr>
          <w:b w:val="0"/>
          <w:i w:val="0"/>
          <w:sz w:val="22"/>
        </w:rPr>
        <w:t>El sistema no depende de ninguna API externa de pago. El único recurso descargado es el modelo de embeddings all-MiniLM-L6-v2 (Hugging Face, de código abierto), que se almacena en caché localmente tras la primera descarga. El resto del pipeline —extracción de habilidades, modelo de scoring, explicabilidad, detección de anomalías y duplicados, y auditoría de sesgos— se ejecuta íntegramente en local con scikit-learn, rapidfuzz y shap.</w:t>
      </w:r>
    </w:p>
    <w:p>
      <w:pPr>
        <w:pStyle w:val="Heading2"/>
      </w:pPr>
      <w:r>
        <w:t>3.3 Métricas del modelo (conjunto de prueba, 20 %)</w:t>
      </w:r>
    </w:p>
    <w:tbl>
      <w:tblPr>
        <w:tblStyle w:val="TableGrid"/>
        <w:tblW w:type="auto" w:w="0"/>
        <w:tblLook w:firstColumn="1" w:firstRow="1" w:lastColumn="0" w:lastRow="0" w:noHBand="0" w:noVBand="1" w:val="04A0"/>
      </w:tblPr>
      <w:tblGrid>
        <w:gridCol w:w="4703"/>
        <w:gridCol w:w="4703"/>
      </w:tblGrid>
      <w:tr>
        <w:tc>
          <w:tcPr>
            <w:tcW w:type="dxa" w:w="4535"/>
            <w:shd w:val="clear" w:color="auto" w:fill="9B1C1C"/>
            <w:vAlign w:val="center"/>
          </w:tcPr>
          <w:p>
            <w:r>
              <w:rPr>
                <w:b/>
                <w:color w:val="FFFFFF"/>
                <w:sz w:val="20"/>
              </w:rPr>
              <w:t>Métrica</w:t>
            </w:r>
          </w:p>
        </w:tc>
        <w:tc>
          <w:tcPr>
            <w:tcW w:type="dxa" w:w="4252"/>
            <w:shd w:val="clear" w:color="auto" w:fill="9B1C1C"/>
            <w:vAlign w:val="center"/>
          </w:tcPr>
          <w:p>
            <w:r>
              <w:rPr>
                <w:b/>
                <w:color w:val="FFFFFF"/>
                <w:sz w:val="20"/>
              </w:rPr>
              <w:t>Valor</w:t>
            </w:r>
          </w:p>
        </w:tc>
      </w:tr>
      <w:tr>
        <w:tc>
          <w:tcPr>
            <w:tcW w:type="dxa" w:w="4535"/>
            <w:vAlign w:val="center"/>
          </w:tcPr>
          <w:p>
            <w:r>
              <w:rPr>
                <w:sz w:val="20"/>
              </w:rPr>
              <w:t>Exactitud (accuracy)</w:t>
            </w:r>
          </w:p>
        </w:tc>
        <w:tc>
          <w:tcPr>
            <w:tcW w:type="dxa" w:w="4252"/>
            <w:vAlign w:val="center"/>
          </w:tcPr>
          <w:p>
            <w:r>
              <w:rPr>
                <w:sz w:val="20"/>
              </w:rPr>
              <w:t>91.1 %</w:t>
            </w:r>
          </w:p>
        </w:tc>
      </w:tr>
      <w:tr>
        <w:tc>
          <w:tcPr>
            <w:tcW w:type="dxa" w:w="4535"/>
            <w:shd w:val="clear" w:color="auto" w:fill="F2F2F2"/>
            <w:vAlign w:val="center"/>
          </w:tcPr>
          <w:p>
            <w:r>
              <w:rPr>
                <w:sz w:val="20"/>
              </w:rPr>
              <w:t>F1-score</w:t>
            </w:r>
          </w:p>
        </w:tc>
        <w:tc>
          <w:tcPr>
            <w:tcW w:type="dxa" w:w="4252"/>
            <w:shd w:val="clear" w:color="auto" w:fill="F2F2F2"/>
            <w:vAlign w:val="center"/>
          </w:tcPr>
          <w:p>
            <w:r>
              <w:rPr>
                <w:sz w:val="20"/>
              </w:rPr>
              <w:t>88.0 %</w:t>
            </w:r>
          </w:p>
        </w:tc>
      </w:tr>
      <w:tr>
        <w:tc>
          <w:tcPr>
            <w:tcW w:type="dxa" w:w="4535"/>
            <w:vAlign w:val="center"/>
          </w:tcPr>
          <w:p>
            <w:r>
              <w:rPr>
                <w:sz w:val="20"/>
              </w:rPr>
              <w:t>ROC-AUC</w:t>
            </w:r>
          </w:p>
        </w:tc>
        <w:tc>
          <w:tcPr>
            <w:tcW w:type="dxa" w:w="4252"/>
            <w:vAlign w:val="center"/>
          </w:tcPr>
          <w:p>
            <w:r>
              <w:rPr>
                <w:sz w:val="20"/>
              </w:rPr>
              <w:t>97.5 %</w:t>
            </w:r>
          </w:p>
        </w:tc>
      </w:tr>
    </w:tbl>
    <w:p>
      <w:pPr>
        <w:spacing w:before="80" w:after="200"/>
        <w:jc w:val="center"/>
      </w:pPr>
      <w:r>
        <w:rPr>
          <w:i/>
          <w:color w:val="666666"/>
          <w:sz w:val="19"/>
        </w:rPr>
        <w:t>Tabla 5. Métricas de evaluación del modelo de fit-score</w:t>
      </w:r>
    </w:p>
    <w:p>
      <w:pPr>
        <w:spacing w:after="200"/>
      </w:pPr>
      <w:r>
        <w:rPr>
          <w:b w:val="0"/>
          <w:i/>
          <w:color w:val="666666"/>
          <w:sz w:val="19"/>
        </w:rPr>
        <w:t>El detalle completo del modelo — arquitectura, metodología de entrenamiento, generación del dataset sintético y análisis de resultados — se documenta por separado en docs/modelo_y_entrenamiento.docx, para no sobrecargar este informe con contenido puramente técnico de machine learning.</w:t>
      </w:r>
    </w:p>
    <w:p>
      <w:pPr>
        <w:spacing w:after="160"/>
      </w:pPr>
      <w:r>
        <w:rPr>
          <w:b w:val="0"/>
          <w:i w:val="0"/>
          <w:sz w:val="22"/>
        </w:rPr>
      </w:r>
    </w:p>
    <w:p>
      <w:pPr>
        <w:pStyle w:val="Heading2"/>
      </w:pPr>
      <w:r>
        <w:t>3.4 Extensiones incorporadas tras la primera versión</w:t>
      </w:r>
    </w:p>
    <w:p>
      <w:pPr>
        <w:pStyle w:val="ListBullet"/>
        <w:spacing w:after="80"/>
      </w:pPr>
      <w:r>
        <w:t>Vacante totalmente editable: el usuario de RRHH puede modificar las habilidades obligatorias y deseables, la experiencia mínima y la educación mínima de un puesto predefinido, o crear un puesto nuevo desde cero.</w:t>
      </w:r>
    </w:p>
    <w:p>
      <w:pPr>
        <w:pStyle w:val="ListBullet"/>
        <w:spacing w:after="80"/>
      </w:pPr>
      <w:r>
        <w:t>Limpieza automática de estado: al cambiar de vacante, los CVs y resultados ya revisados para el puesto anterior se descartan de inmediato, evitando evaluar currículums contra un puesto equivocado por error de interfaz.</w:t>
      </w:r>
    </w:p>
    <w:p>
      <w:pPr>
        <w:pStyle w:val="ListBullet"/>
        <w:spacing w:after="80"/>
      </w:pPr>
      <w:r>
        <w:t>Exportación de resultados a formato CSV (ranking completo con score, habilidades y justificación) directamente desde el panel interactivo.</w:t>
      </w:r>
    </w:p>
    <w:p>
      <w:pPr>
        <w:pStyle w:val="ListBullet"/>
        <w:spacing w:after="80"/>
      </w:pPr>
      <w:r>
        <w:t>Separación de métricas y justificación: el detalle de cada candidato se dividió en tres bloques independientes — métricas individuales del modelo (valores numéricos), justificación narrativa (interpretación cualitativa) y la explicación SHAP — en vez de mezclar números y texto en un único bloque.</w:t>
      </w:r>
    </w:p>
    <w:p>
      <w:pPr>
        <w:pStyle w:val="ListBullet"/>
        <w:spacing w:after="80"/>
      </w:pPr>
      <w:r>
        <w:t>Análisis general del lote: una pestaña nueva agrega la distribución de scores, el promedio de cada métrica del modelo y las habilidades que más faltan entre todos los candidatos evaluados, para detectar patrones que un score individual no muestra.</w:t>
      </w:r>
    </w:p>
    <w:p>
      <w:pPr>
        <w:pStyle w:val="ListBullet"/>
        <w:spacing w:after="80"/>
      </w:pPr>
      <w:r>
        <w:t>Rediseño visual completo (paleta clara, tipografía Source Sans, animaciones y transiciones) adaptando una referencia de diseño aportada por el equipo a las necesidades de un panel de trabajo, no de una landing page.</w:t>
      </w:r>
    </w:p>
    <w:p>
      <w:pPr>
        <w:pStyle w:val="ListBullet"/>
        <w:spacing w:after="80"/>
      </w:pPr>
      <w:r>
        <w:t>Suite de pruebas automatizadas (tests/test_pipeline.py, tests/test_security.py, pytest): veinte pruebas de integración y seguridad que validan el pipeline completo sobre currículums reales y los controles descritos en 3.5. Las veinte pruebas se superan en el estado actual del proyecto.</w:t>
      </w:r>
    </w:p>
    <w:p>
      <w:pPr>
        <w:spacing w:after="160"/>
      </w:pPr>
      <w:r>
        <w:rPr>
          <w:b w:val="0"/>
          <w:i w:val="0"/>
          <w:sz w:val="22"/>
        </w:rPr>
      </w:r>
    </w:p>
    <w:p>
      <w:pPr>
        <w:pStyle w:val="Heading2"/>
      </w:pPr>
      <w:r>
        <w:t>3.5 Medidas de seguridad</w:t>
      </w:r>
    </w:p>
    <w:p>
      <w:pPr>
        <w:spacing w:after="160"/>
        <w:jc w:val="both"/>
      </w:pPr>
      <w:r>
        <w:rPr>
          <w:b w:val="0"/>
          <w:i w:val="0"/>
          <w:sz w:val="22"/>
        </w:rPr>
        <w:t>Dado que el sistema procesa datos personales de solicitantes (nombres, trayectoria laboral, formación académica), se incorporaron controles específicos, documentados en detalle en docs/seguridad.md:</w:t>
      </w:r>
    </w:p>
    <w:p>
      <w:pPr>
        <w:pStyle w:val="ListNumber"/>
        <w:spacing w:after="80"/>
      </w:pPr>
      <w:r>
        <w:t>Control de acceso administrativo: modificar los requisitos de una vacante o crear una nueva requiere una contraseña de administrador de RRHH. Solo se almacena y compara un hash SHA-256 de la contraseña (src/auth.py); el valor real vive en .streamlit/secrets.toml, excluido del control de versiones.</w:t>
      </w:r>
    </w:p>
    <w:p>
      <w:pPr>
        <w:pStyle w:val="ListNumber"/>
        <w:spacing w:after="80"/>
      </w:pPr>
      <w:r>
        <w:t>Protección contra CSV injection: el nombre de un candidato proviene del nombre del archivo subido, un campo potencialmente controlado por un atacante. Toda celda del CSV exportado que comience con «=», «+», «-» o «@» se neutraliza anteponiendo una comilla, evitando la ejecución de fórmulas maliciosas al abrir el archivo en Excel o Sheets (ui.py::_csv_safe).</w:t>
      </w:r>
    </w:p>
    <w:p>
      <w:pPr>
        <w:pStyle w:val="ListNumber"/>
        <w:spacing w:after="80"/>
      </w:pPr>
      <w:r>
        <w:t>Prevención de XSS: todo texto proveniente del usuario (incluidos nombres de archivo) se escapa (html.escape) antes de insertarse en el HTML del panel, evitando la inyección de marcado o script.</w:t>
      </w:r>
    </w:p>
    <w:p>
      <w:pPr>
        <w:pStyle w:val="ListNumber"/>
        <w:spacing w:after="80"/>
      </w:pPr>
      <w:r>
        <w:t>Manejo robusto de archivos: cada archivo se procesa de forma aislada; uno corrupto, cifrado o vacío se excluye del lote sin detener la evaluación de los demás ni exponer el detalle interno del error.</w:t>
      </w:r>
    </w:p>
    <w:p>
      <w:pPr>
        <w:pStyle w:val="ListNumber"/>
        <w:spacing w:after="80"/>
      </w:pPr>
      <w:r>
        <w:t>Minimización y no persistencia: los currículums se procesan en memoria durante la sesión y se descartan al finalizar — no se escriben a disco ni se registran en logs. Ningún fragmento de CV se envía a un servicio externo.</w:t>
      </w:r>
    </w:p>
    <w:p>
      <w:pPr>
        <w:spacing w:after="160"/>
        <w:jc w:val="both"/>
      </w:pPr>
      <w:r>
        <w:rPr>
          <w:b w:val="0"/>
          <w:i w:val="0"/>
          <w:sz w:val="22"/>
        </w:rPr>
        <w:t>Estas medidas se alinean con los principios de minimización de datos y seguridad técnica de la Ley Orgánica de Protección de Datos Personales del Ecuador (LOPDP, 2021). Se trata de una autenticación de contraseña única, adecuada para una demostración académica; un despliegue en producción requeriría cuentas individuales, control de acceso basado en roles y registro de auditoría (ver docs/seguridad.md, «Próximos pasos»).</w:t>
      </w:r>
    </w:p>
    <w:p>
      <w:r>
        <w:br w:type="page"/>
      </w:r>
    </w:p>
    <w:p>
      <w:pPr>
        <w:pStyle w:val="Heading1"/>
        <w:pBdr>
          <w:bottom w:val="single" w:sz="6" w:space="4" w:color="9B1C1C"/>
        </w:pBdr>
      </w:pPr>
      <w:r>
        <w:t>4. Conclusiones</w:t>
      </w:r>
    </w:p>
    <w:p>
      <w:pPr>
        <w:spacing w:after="160"/>
        <w:jc w:val="both"/>
      </w:pPr>
      <w:r>
        <w:rPr>
          <w:b w:val="0"/>
          <w:i w:val="0"/>
          <w:sz w:val="22"/>
        </w:rPr>
        <w:t>El proyecto demuestra que es posible construir, en un plazo reducido, un sistema de apoyo a la selección de personal cuyo núcleo computacional es un modelo de aprendizaje automático entrenado y evaluado con métricas objetivas, en lugar de una capa superficial sobre un modelo de lenguaje de propósito general. El diseño incorpora explícitamente tres salvaguardas que suelen omitirse en soluciones equivalentes: explicabilidad por predicción, auditoría automática de sesgos y detección de manipulación del sistema por parte de los propios postulantes.</w:t>
      </w:r>
    </w:p>
    <w:p>
      <w:pPr>
        <w:spacing w:after="160"/>
        <w:jc w:val="both"/>
      </w:pPr>
      <w:r>
        <w:rPr>
          <w:b w:val="0"/>
          <w:i w:val="0"/>
          <w:sz w:val="22"/>
        </w:rPr>
        <w:t>Como trabajo futuro, un despliegue en producción requeriría: (1) sustituir el conjunto de entrenamiento sintético por decisiones históricas reales, con las salvaguardas de privacidad correspondientes; (2) monitoreo continuo de deriva del modelo y de sesgo; y (3) una revisión legal formal de los proxies utilizados en la auditoría de equidad. Estas limitaciones se documentan con mayor detalle en el Anexo.</w:t>
      </w:r>
    </w:p>
    <w:p>
      <w:pPr>
        <w:pStyle w:val="Heading2"/>
      </w:pPr>
      <w:r>
        <w:t>4.1 Estado de la entrega</w:t>
      </w:r>
    </w:p>
    <w:p>
      <w:pPr>
        <w:spacing w:after="80"/>
      </w:pPr>
      <w:r>
        <w:rPr>
          <w:b/>
          <w:i w:val="0"/>
          <w:sz w:val="22"/>
        </w:rPr>
        <w:t>Completado:</w:t>
      </w:r>
    </w:p>
    <w:p>
      <w:pPr>
        <w:pStyle w:val="ListBullet"/>
        <w:spacing w:after="80"/>
      </w:pPr>
      <w:r>
        <w:t>Pipeline completo (extracción, features, modelo entrenado, explicabilidad, anomalías, duplicados, auditoría de sesgos, upskilling).</w:t>
      </w:r>
    </w:p>
    <w:p>
      <w:pPr>
        <w:pStyle w:val="ListBullet"/>
        <w:spacing w:after="80"/>
      </w:pPr>
      <w:r>
        <w:t>Panel interactivo con vacante editable, exportación CSV, análisis general agregado y control de acceso administrativo.</w:t>
      </w:r>
    </w:p>
    <w:p>
      <w:pPr>
        <w:pStyle w:val="ListBullet"/>
        <w:spacing w:after="80"/>
      </w:pPr>
      <w:r>
        <w:t>Veinte pruebas automatizadas (pipeline + seguridad), todas superadas.</w:t>
      </w:r>
    </w:p>
    <w:p>
      <w:pPr>
        <w:pStyle w:val="ListBullet"/>
        <w:spacing w:after="80"/>
      </w:pPr>
      <w:r>
        <w:t>Documentación técnica completa: definición del problema, arquitectura, seguridad, uso responsable, y este informe.</w:t>
      </w:r>
    </w:p>
    <w:p>
      <w:pPr>
        <w:pStyle w:val="ListBullet"/>
        <w:spacing w:after="80"/>
      </w:pPr>
      <w:r>
        <w:t>Registro de prompts y aportes individuales de ambos integrantes (Matthew Vladimir Redín Espinel y Fernando Alonso Carrera Zambrano).</w:t>
      </w:r>
    </w:p>
    <w:p>
      <w:pPr>
        <w:spacing w:after="80"/>
      </w:pPr>
      <w:r>
        <w:rPr>
          <w:b/>
          <w:i w:val="0"/>
          <w:sz w:val="22"/>
        </w:rPr>
        <w:t>Pendiente antes de la entrega final:</w:t>
      </w:r>
    </w:p>
    <w:p>
      <w:pPr>
        <w:pStyle w:val="ListBullet"/>
        <w:spacing w:after="80"/>
      </w:pPr>
      <w:r>
        <w:t>Ensayo de la defensa oral con ambos integrantes.</w:t>
      </w:r>
    </w:p>
    <w:p>
      <w:pPr>
        <w:pStyle w:val="ListBullet"/>
        <w:spacing w:after="80"/>
      </w:pPr>
      <w:r>
        <w:t>Revisión final de este documento (portada, fecha de entrega) y subida al repositorio del curso.</w:t>
      </w:r>
    </w:p>
    <w:p>
      <w:r>
        <w:br w:type="page"/>
      </w:r>
    </w:p>
    <w:p>
      <w:pPr>
        <w:pStyle w:val="Heading1"/>
        <w:pBdr>
          <w:bottom w:val="single" w:sz="6" w:space="4" w:color="9B1C1C"/>
        </w:pBdr>
      </w:pPr>
      <w:r>
        <w:t>Referencias</w:t>
      </w:r>
    </w:p>
    <w:p>
      <w:pPr>
        <w:spacing w:after="120"/>
        <w:ind w:left="340" w:hanging="340"/>
      </w:pPr>
      <w:r>
        <w:rPr>
          <w:sz w:val="20"/>
        </w:rPr>
        <w:t>[1] Lundberg, S. M., &amp; Lee, S.-I. (2017). A Unified Approach to Interpreting Model Predictions. Advances in Neural Information Processing Systems (NeurIPS).</w:t>
      </w:r>
    </w:p>
    <w:p>
      <w:pPr>
        <w:spacing w:after="120"/>
        <w:ind w:left="340" w:hanging="340"/>
      </w:pPr>
      <w:r>
        <w:rPr>
          <w:sz w:val="20"/>
        </w:rPr>
        <w:t>[2] Reimers, N., &amp; Gurevych, I. (2019). Sentence-BERT: Sentence Embeddings using Siamese BERT-Networks. Proceedings of EMNLP-IJCNLP.</w:t>
      </w:r>
    </w:p>
    <w:p>
      <w:pPr>
        <w:spacing w:after="120"/>
        <w:ind w:left="340" w:hanging="340"/>
      </w:pPr>
      <w:r>
        <w:rPr>
          <w:sz w:val="20"/>
        </w:rPr>
        <w:t>[3] Pedregosa, F., et al. (2011). Scikit-learn: Machine Learning in Python. Journal of Machine Learning Research, 12, 2825–2830.</w:t>
      </w:r>
    </w:p>
    <w:p>
      <w:pPr>
        <w:spacing w:after="120"/>
        <w:ind w:left="340" w:hanging="340"/>
      </w:pPr>
      <w:r>
        <w:rPr>
          <w:sz w:val="20"/>
        </w:rPr>
        <w:t>[4] U.S. Equal Employment Opportunity Commission. (1978). Uniform Guidelines on Employee Selection Procedures (regla del 80 % / four-fifths rule).</w:t>
      </w:r>
    </w:p>
    <w:p>
      <w:pPr>
        <w:spacing w:after="120"/>
        <w:ind w:left="340" w:hanging="340"/>
      </w:pPr>
      <w:r>
        <w:rPr>
          <w:sz w:val="20"/>
        </w:rPr>
        <w:t>[5] City of New York. (2021). Local Law 144 of 2021 — Automated Employment Decision Tools.</w:t>
      </w:r>
    </w:p>
    <w:p>
      <w:pPr>
        <w:spacing w:after="120"/>
        <w:ind w:left="340" w:hanging="340"/>
      </w:pPr>
      <w:r>
        <w:rPr>
          <w:sz w:val="20"/>
        </w:rPr>
        <w:t>[6] OWASP Foundation. CSV Injection. OWASP Community Pages.</w:t>
      </w:r>
    </w:p>
    <w:p>
      <w:pPr>
        <w:spacing w:after="120"/>
        <w:ind w:left="340" w:hanging="340"/>
      </w:pPr>
      <w:r>
        <w:rPr>
          <w:sz w:val="20"/>
        </w:rPr>
        <w:t>[7] Asamblea Nacional del Ecuador. (2021). Ley Orgánica de Protección de Datos Personales (LOPDP).</w:t>
      </w:r>
    </w:p>
    <w:p>
      <w:pPr>
        <w:spacing w:after="120"/>
        <w:ind w:left="340" w:hanging="340"/>
      </w:pPr>
      <w:r>
        <w:rPr>
          <w:sz w:val="20"/>
        </w:rPr>
        <w:t>[8] CyberMinds, Escuela Politécnica Nacional. (2026). Guía del Proyecto Final — Fundamentos de Inteligencia Artificial, Summer Camp 2026.</w:t>
      </w:r>
    </w:p>
    <w:p>
      <w:r>
        <w:br w:type="page"/>
      </w:r>
    </w:p>
    <w:p>
      <w:pPr>
        <w:pStyle w:val="Heading1"/>
        <w:pBdr>
          <w:bottom w:val="single" w:sz="6" w:space="4" w:color="9B1C1C"/>
        </w:pBdr>
      </w:pPr>
      <w:r>
        <w:t>Glosario</w:t>
      </w:r>
    </w:p>
    <w:p>
      <w:pPr>
        <w:spacing w:after="160"/>
        <w:jc w:val="both"/>
      </w:pPr>
      <w:r>
        <w:rPr>
          <w:b/>
        </w:rPr>
        <w:t xml:space="preserve">GradientBoostingClassifier: </w:t>
      </w:r>
      <w:r>
        <w:t>Algoritmo de aprendizaje automático que combina de forma secuencial múltiples árboles de decisión simples para producir un clasificador robusto y de alto desempeño.</w:t>
      </w:r>
    </w:p>
    <w:p>
      <w:pPr>
        <w:spacing w:after="160"/>
        <w:jc w:val="both"/>
      </w:pPr>
      <w:r>
        <w:rPr>
          <w:b/>
        </w:rPr>
        <w:t xml:space="preserve">IsolationForest: </w:t>
      </w:r>
      <w:r>
        <w:t>Algoritmo de detección de anomalías que aísla observaciones atípicas mediante particiones aleatorias del espacio de características.</w:t>
      </w:r>
    </w:p>
    <w:p>
      <w:pPr>
        <w:spacing w:after="160"/>
        <w:jc w:val="both"/>
      </w:pPr>
      <w:r>
        <w:rPr>
          <w:b/>
        </w:rPr>
        <w:t xml:space="preserve">SHAP (SHapley Additive exPlanations): </w:t>
      </w:r>
      <w:r>
        <w:t>Método de explicabilidad que atribuye a cada característica de entrada su contribución cuantitativa a una predicción individual.</w:t>
      </w:r>
    </w:p>
    <w:p>
      <w:pPr>
        <w:spacing w:after="160"/>
        <w:jc w:val="both"/>
      </w:pPr>
      <w:r>
        <w:rPr>
          <w:b/>
        </w:rPr>
        <w:t xml:space="preserve">Embedding: </w:t>
      </w:r>
      <w:r>
        <w:t>Representación vectorial numérica de un texto que captura su significado semántico, permitiendo comparar similitud más allá de coincidencias léxicas.</w:t>
      </w:r>
    </w:p>
    <w:p>
      <w:pPr>
        <w:spacing w:after="160"/>
        <w:jc w:val="both"/>
      </w:pPr>
      <w:r>
        <w:rPr>
          <w:b/>
        </w:rPr>
        <w:t xml:space="preserve">Fuzzy matching: </w:t>
      </w:r>
      <w:r>
        <w:t>Técnica de comparación de cadenas de texto que tolera variaciones (errores tipográficos, sinónimos de escritura) mediante una métrica de similitud.</w:t>
      </w:r>
    </w:p>
    <w:p>
      <w:pPr>
        <w:spacing w:after="160"/>
        <w:jc w:val="both"/>
      </w:pPr>
      <w:r>
        <w:rPr>
          <w:b/>
        </w:rPr>
        <w:t xml:space="preserve">Regla del 80 % (four-fifths rule): </w:t>
      </w:r>
      <w:r>
        <w:t>Estándar utilizado en auditorías de impacto adverso: se considera indicio de sesgo cuando la tasa de selección de un grupo cae por debajo del 80 % de la del grupo con mejor tasa.</w:t>
      </w:r>
    </w:p>
    <w:p>
      <w:r>
        <w:br w:type="page"/>
      </w:r>
    </w:p>
    <w:p>
      <w:pPr>
        <w:pStyle w:val="Heading1"/>
        <w:pBdr>
          <w:bottom w:val="single" w:sz="6" w:space="4" w:color="9B1C1C"/>
        </w:pBdr>
      </w:pPr>
      <w:r>
        <w:t>Anexo: Nota de Uso Responsable</w:t>
      </w:r>
    </w:p>
    <w:p>
      <w:pPr>
        <w:pStyle w:val="Heading2"/>
      </w:pPr>
      <w:r>
        <w:t>Sobre el módulo de auditoría de sesgos (fairness.py)</w:t>
      </w:r>
    </w:p>
    <w:p>
      <w:pPr>
        <w:pStyle w:val="ListBullet"/>
        <w:spacing w:after="80"/>
      </w:pPr>
      <w:r>
        <w:t>No infiere género, etnia, edad ni ninguna característica protegida a partir del nombre, la fotografía o cualquier otro dato del currículum — dicha inferencia sería poco fiable y éticamente cuestionable.</w:t>
      </w:r>
    </w:p>
    <w:p>
      <w:pPr>
        <w:pStyle w:val="ListBullet"/>
        <w:spacing w:after="80"/>
      </w:pPr>
      <w:r>
        <w:t>Audita únicamente proxies estructurales ya documentados en la literatura de sesgo en contratación: el prestigio percibido de la universidad de origen y la existencia de brechas de empleo. Son señales de alerta para revisión humana, no conclusiones definitivas.</w:t>
      </w:r>
    </w:p>
    <w:p>
      <w:pPr>
        <w:pStyle w:val="ListBullet"/>
        <w:spacing w:after="80"/>
      </w:pPr>
      <w:r>
        <w:t>La clasificación de universidades en «tiers» es una simplificación ilustrativa para esta demostración académica, no una jerarquía oficial ni una afirmación sobre la calidad de ninguna institución.</w:t>
      </w:r>
    </w:p>
    <w:p>
      <w:pPr>
        <w:pStyle w:val="ListBullet"/>
        <w:spacing w:after="80"/>
      </w:pPr>
      <w:r>
        <w:t>La regla del 80 % es un estándar simplificado de auditorías de impacto adverso; no sustituye un análisis legal o estadístico riguroso, especialmente con tamaños de muestra reducidos.</w:t>
      </w:r>
    </w:p>
    <w:p>
      <w:pPr>
        <w:pStyle w:val="Heading2"/>
      </w:pPr>
      <w:r>
        <w:t>Sobre el score de ajuste</w:t>
      </w:r>
    </w:p>
    <w:p>
      <w:pPr>
        <w:pStyle w:val="ListBullet"/>
        <w:spacing w:after="80"/>
      </w:pPr>
      <w:r>
        <w:t>Entrenado con datos sintéticos; un uso en producción real requeriría reentrenamiento con datos históricos, validación externa y monitoreo continuo de sesgo.</w:t>
      </w:r>
    </w:p>
    <w:p>
      <w:pPr>
        <w:pStyle w:val="ListBullet"/>
        <w:spacing w:after="80"/>
      </w:pPr>
      <w:r>
        <w:t>El score constituye una ayuda a la decisión y no debe emplearse como único criterio de descarte automático sin revisión humana.</w:t>
      </w:r>
    </w:p>
    <w:p>
      <w:pPr>
        <w:pStyle w:val="Heading2"/>
      </w:pPr>
      <w:r>
        <w:t>Transparencia</w:t>
      </w:r>
    </w:p>
    <w:p>
      <w:pPr>
        <w:spacing w:after="160"/>
        <w:jc w:val="both"/>
      </w:pPr>
      <w:r>
        <w:rPr>
          <w:b w:val="0"/>
          <w:i w:val="0"/>
          <w:sz w:val="22"/>
        </w:rPr>
        <w:t>Todo el pipeline es auditable: el código es abierto dentro del repositorio del proyecto, sin caja negra de un proveedor externo de modelos de lenguaje. Cada score se acompaña de su explicación (SHAP y texto) y de las alertas de auditoría correspondientes.</w:t>
      </w:r>
    </w:p>
    <w:sectPr w:rsidR="00FC693F" w:rsidRPr="0006063C" w:rsidSect="00034616">
      <w:headerReference w:type="default" r:id="rId9"/>
      <w:footerReference w:type="default" r:id="rId10"/>
      <w:headerReference w:type="first" r:id="rId11"/>
      <w:footerReference w:type="first" r:id="rId12"/>
      <w:pgSz w:w="12240" w:h="15840"/>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Página </w:t>
    </w:r>
    <w:r>
      <w:fldChar w:fldCharType="begin"/>
    </w:r>
    <w:r>
      <w:instrText xml:space="preserve">PAGE</w:instrText>
    </w:r>
    <w:r>
      <w:fldChar w:fldCharType="separate"/>
    </w:r>
    <w:r>
      <w:t>1</w:t>
    </w:r>
    <w:r>
      <w:fldChar w:fldCharType="end"/>
    </w:r>
    <w:r>
      <w:rPr>
        <w:color w:val="666666"/>
        <w:sz w:val="18"/>
      </w:rPr>
      <w:t xml:space="preserve"> de </w:t>
    </w:r>
    <w:r>
      <w:fldChar w:fldCharType="begin"/>
    </w:r>
    <w:r>
      <w:instrText xml:space="preserve">NUMPAGES</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7"/>
      </w:rPr>
      <w:t>Sistema Inteligente de Cribado y Auditoría de Talento — Informe Técnico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60"/>
      <w:outlineLvl w:val="0"/>
    </w:pPr>
    <w:rPr>
      <w:rFonts w:asciiTheme="majorHAnsi" w:eastAsiaTheme="majorEastAsia" w:hAnsiTheme="majorHAnsi" w:cstheme="majorBidi" w:ascii="Calibri" w:hAnsi="Calibri"/>
      <w:b/>
      <w:bCs/>
      <w:color w:val="9B1C1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