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333333"/>
          <w:sz w:val="24"/>
        </w:rPr>
        <w:t>ESCUELA POLITÉCNICA NACIONAL</w:t>
      </w:r>
    </w:p>
    <w:p>
      <w:pPr>
        <w:spacing w:after="40"/>
        <w:jc w:val="center"/>
      </w:pPr>
      <w:r>
        <w:rPr>
          <w:b w:val="0"/>
          <w:i w:val="0"/>
          <w:color w:val="666666"/>
          <w:sz w:val="22"/>
        </w:rPr>
        <w:t>CyberMinds — Célula de Ciberseguridad</w:t>
      </w:r>
    </w:p>
    <w:p>
      <w:pPr>
        <w:spacing w:after="1200"/>
        <w:jc w:val="center"/>
      </w:pPr>
      <w:r>
        <w:rPr>
          <w:b w:val="0"/>
          <w:i w:val="0"/>
          <w:color w:val="666666"/>
          <w:sz w:val="22"/>
        </w:rPr>
        <w:t>Fundamentos de Inteligencia Artificial (AIE) — Summer Camp 2026</w:t>
      </w:r>
    </w:p>
    <w:p>
      <w:pPr>
        <w:jc w:val="center"/>
      </w:pPr>
      <w:r>
        <w:rPr>
          <w:sz w:val="68"/>
        </w:rPr>
        <w:t>🧠</w:t>
      </w:r>
    </w:p>
    <w:p>
      <w:pPr>
        <w:spacing w:after="120"/>
        <w:jc w:val="center"/>
      </w:pPr>
      <w:r>
        <w:rPr>
          <w:b w:val="0"/>
          <w:i w:val="0"/>
          <w:color w:val="666666"/>
          <w:sz w:val="26"/>
        </w:rPr>
        <w:t>DOCUMENTO TÉCNICO COMPLEMENTARIO</w:t>
      </w:r>
    </w:p>
    <w:p>
      <w:pPr>
        <w:spacing w:after="120"/>
        <w:jc w:val="center"/>
      </w:pPr>
      <w:r>
        <w:rPr>
          <w:b/>
          <w:i w:val="0"/>
          <w:color w:val="9B1C1C"/>
          <w:sz w:val="40"/>
        </w:rPr>
        <w:t>Modelo de IA: Diseño, Entrenamiento y Dataset Sintético</w:t>
      </w:r>
    </w:p>
    <w:p>
      <w:pPr>
        <w:spacing w:after="1200"/>
        <w:jc w:val="center"/>
      </w:pPr>
      <w:r>
        <w:rPr>
          <w:b w:val="0"/>
          <w:i w:val="0"/>
          <w:color w:val="333333"/>
          <w:sz w:val="26"/>
        </w:rPr>
        <w:t>Sistema Inteligente de Cribado y Auditoría de Talento</w:t>
      </w:r>
    </w:p>
    <w:tbl>
      <w:tblPr>
        <w:tblStyle w:val="TableGrid"/>
        <w:tblW w:type="auto" w:w="0"/>
        <w:tblLook w:firstColumn="1" w:firstRow="1" w:lastColumn="0" w:lastRow="0" w:noHBand="0" w:noVBand="1" w:val="04A0"/>
      </w:tblPr>
      <w:tblGrid>
        <w:gridCol w:w="4703"/>
        <w:gridCol w:w="4703"/>
      </w:tblGrid>
      <w:tr>
        <w:tc>
          <w:tcPr>
            <w:tcW w:type="dxa" w:w="2268"/>
            <w:shd w:val="clear" w:color="auto" w:fill="F2F2F2"/>
          </w:tcPr>
          <w:p>
            <w:r>
              <w:rPr>
                <w:b/>
              </w:rPr>
              <w:t>Integrante 1</w:t>
            </w:r>
          </w:p>
        </w:tc>
        <w:tc>
          <w:tcPr>
            <w:tcW w:type="dxa" w:w="4535"/>
          </w:tcPr>
          <w:p>
            <w:r>
              <w:t>Matthew Vladimir Redín Espinel</w:t>
            </w:r>
          </w:p>
        </w:tc>
      </w:tr>
      <w:tr>
        <w:tc>
          <w:tcPr>
            <w:tcW w:type="dxa" w:w="2268"/>
            <w:shd w:val="clear" w:color="auto" w:fill="F2F2F2"/>
          </w:tcPr>
          <w:p>
            <w:r>
              <w:rPr>
                <w:b/>
              </w:rPr>
              <w:t>Integrante 2</w:t>
            </w:r>
          </w:p>
        </w:tc>
        <w:tc>
          <w:tcPr>
            <w:tcW w:type="dxa" w:w="4535"/>
          </w:tcPr>
          <w:p>
            <w:r>
              <w:t>Fernando Alonso Carrera Zambrano</w:t>
            </w:r>
          </w:p>
        </w:tc>
      </w:tr>
    </w:tbl>
    <w:p>
      <w:pPr>
        <w:spacing w:after="800"/>
      </w:pPr>
      <w:r>
        <w:rPr>
          <w:b w:val="0"/>
          <w:i w:val="0"/>
          <w:sz w:val="22"/>
        </w:rPr>
      </w:r>
    </w:p>
    <w:p>
      <w:pPr>
        <w:spacing w:after="120"/>
        <w:jc w:val="center"/>
      </w:pPr>
      <w:r>
        <w:rPr>
          <w:b w:val="0"/>
          <w:i w:val="0"/>
          <w:color w:val="666666"/>
          <w:sz w:val="21"/>
        </w:rPr>
        <w:t>Quito, Ecuador — Agosto de 2026</w:t>
      </w:r>
    </w:p>
    <w:p>
      <w:pPr>
        <w:spacing w:after="600"/>
        <w:jc w:val="center"/>
      </w:pPr>
      <w:r>
        <w:rPr>
          <w:b w:val="0"/>
          <w:i/>
          <w:color w:val="666666"/>
          <w:sz w:val="19"/>
        </w:rPr>
        <w:t>Complementa la sección 3 (Arquitectura de Implementación) del informe técnico principal con el detalle del núcleo de IA: features, dataset sintético, entrenamiento y evaluación.</w:t>
      </w:r>
    </w:p>
    <w:p>
      <w:r>
        <w:br w:type="page"/>
      </w:r>
    </w:p>
    <w:p>
      <w:pPr>
        <w:pStyle w:val="Heading1"/>
        <w:pBdr>
          <w:bottom w:val="single" w:sz="6" w:space="4" w:color="9B1C1C"/>
        </w:pBdr>
      </w:pPr>
      <w:r>
        <w:t>Índice</w:t>
      </w:r>
    </w:p>
    <w:p>
      <w:r>
        <w:fldChar w:fldCharType="begin"/>
      </w:r>
      <w:r>
        <w:instrText xml:space="preserve">TOC \o "1-2" \h \z \u</w:instrText>
      </w:r>
      <w:r>
        <w:fldChar w:fldCharType="separate"/>
      </w:r>
      <w:r>
        <w:t>1</w:t>
      </w:r>
      <w:r>
        <w:fldChar w:fldCharType="end"/>
      </w:r>
    </w:p>
    <w:p>
      <w:pPr>
        <w:spacing w:after="80"/>
      </w:pPr>
      <w:r>
        <w:rPr>
          <w:b w:val="0"/>
          <w:i/>
          <w:color w:val="666666"/>
          <w:sz w:val="18"/>
        </w:rPr>
        <w:t>Nota: Word genera este índice automáticamente. Si aparece vacío, haga clic derecho sobre él y seleccione «Actualizar campo» → «Actualizar toda la tabla» (o presione F9).</w:t>
      </w:r>
    </w:p>
    <w:p>
      <w:r>
        <w:br w:type="page"/>
      </w:r>
    </w:p>
    <w:p>
      <w:pPr>
        <w:pStyle w:val="Heading1"/>
        <w:pBdr>
          <w:bottom w:val="single" w:sz="6" w:space="4" w:color="9B1C1C"/>
        </w:pBdr>
      </w:pPr>
      <w:r>
        <w:t>1. Visión General del Modelo</w:t>
      </w:r>
    </w:p>
    <w:p>
      <w:pPr>
        <w:spacing w:after="160"/>
        <w:jc w:val="both"/>
      </w:pPr>
      <w:r>
        <w:rPr>
          <w:b w:val="0"/>
          <w:i w:val="0"/>
          <w:sz w:val="22"/>
        </w:rPr>
        <w:t>El núcleo de inteligencia artificial del sistema es un clasificador de aprendizaje automático supervisado — un GradientBoostingClassifier de scikit-learn — entrenado para predecir la probabilidad de que un candidato sea apto para una vacante, a partir de cinco características numéricas derivadas del currículum y de la descripción del puesto.</w:t>
      </w:r>
    </w:p>
    <w:p>
      <w:pPr>
        <w:spacing w:after="160"/>
        <w:jc w:val="both"/>
      </w:pPr>
      <w:r>
        <w:rPr>
          <w:b w:val="0"/>
          <w:i w:val="0"/>
          <w:sz w:val="22"/>
        </w:rPr>
        <w:t>Esta decisión de diseño es deliberada: un modelo entrenado y evaluado con métricas objetivas puede auditarse, medirse y mejorarse de forma sistemática, a diferencia de consultar directamente a un modelo de lenguaje general y confiar en su respuesta sin poder cuantificar su exactitud.</w:t>
      </w:r>
    </w:p>
    <w:p>
      <w:pPr>
        <w:pStyle w:val="Heading2"/>
      </w:pPr>
      <w:r>
        <w:t>1.1 ¿Por qué Gradient Boosting?</w:t>
      </w:r>
    </w:p>
    <w:p>
      <w:pPr>
        <w:pStyle w:val="ListBullet"/>
        <w:spacing w:after="80"/>
      </w:pPr>
      <w:r>
        <w:t>Maneja bien relaciones no lineales entre features sin necesidad de normalización previa exhaustiva.</w:t>
      </w:r>
    </w:p>
    <w:p>
      <w:pPr>
        <w:pStyle w:val="ListBullet"/>
        <w:spacing w:after="80"/>
      </w:pPr>
      <w:r>
        <w:t>Produce probabilidades calibradas razonablemente bien, necesarias para el score 0–100 %.</w:t>
      </w:r>
    </w:p>
    <w:p>
      <w:pPr>
        <w:pStyle w:val="ListBullet"/>
        <w:spacing w:after="80"/>
      </w:pPr>
      <w:r>
        <w:t>Es compatible con SHAP TreeExplainer, lo que permite explicar cada predicción individual de forma exacta y eficiente (a diferencia de aproximaciones necesarias para otros modelos).</w:t>
      </w:r>
    </w:p>
    <w:p>
      <w:pPr>
        <w:pStyle w:val="ListBullet"/>
        <w:spacing w:after="80"/>
      </w:pPr>
      <w:r>
        <w:t>Con un dataset de este tamaño (~1 100 filas, 5 features) entrena en segundos, sin necesidad de GPU ni infraestructura especializada.</w:t>
      </w:r>
    </w:p>
    <w:p>
      <w:pPr>
        <w:pStyle w:val="Heading2"/>
      </w:pPr>
      <w:r>
        <w:t>1.2 Qué produce el modelo</w:t>
      </w:r>
    </w:p>
    <w:p>
      <w:pPr>
        <w:spacing w:after="160"/>
        <w:jc w:val="both"/>
      </w:pPr>
      <w:r>
        <w:rPr>
          <w:b w:val="0"/>
          <w:i w:val="0"/>
          <w:sz w:val="22"/>
        </w:rPr>
        <w:t>Dado un vector de 5 características, el modelo devuelve predict_proba — la probabilidad estimada de la clase «apto» — que se multiplica por 100 para mostrarse como el score de ajuste (0–100 %) en el panel. No es una etiqueta binaria dura: es una probabilidad, lo que permite ordenar candidatos de forma continua en el ranking.</w:t>
      </w:r>
    </w:p>
    <w:p>
      <w:r>
        <w:br w:type="page"/>
      </w:r>
    </w:p>
    <w:p>
      <w:pPr>
        <w:pStyle w:val="Heading1"/>
        <w:pBdr>
          <w:bottom w:val="single" w:sz="6" w:space="4" w:color="9B1C1C"/>
        </w:pBdr>
      </w:pPr>
      <w:r>
        <w:t>2. Ingeniería de Características (Features)</w:t>
      </w:r>
    </w:p>
    <w:p>
      <w:pPr>
        <w:spacing w:after="160"/>
        <w:jc w:val="both"/>
      </w:pPr>
      <w:r>
        <w:rPr>
          <w:b w:val="0"/>
          <w:i w:val="0"/>
          <w:sz w:val="22"/>
        </w:rPr>
        <w:t>El modelo recibe exactamente cinco características (features), todas normalizadas a un rango aproximado de 0 a 1 (algunas pueden superar 1 ligeramente, ver nota). Se calculan en src/features.py::build_feature_vector.</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9B1C1C"/>
            <w:vAlign w:val="center"/>
          </w:tcPr>
          <w:p>
            <w:r>
              <w:rPr>
                <w:b/>
                <w:color w:val="FFFFFF"/>
                <w:sz w:val="20"/>
              </w:rPr>
              <w:t>Feature</w:t>
            </w:r>
          </w:p>
        </w:tc>
        <w:tc>
          <w:tcPr>
            <w:tcW w:type="dxa" w:w="5102"/>
            <w:shd w:val="clear" w:color="auto" w:fill="9B1C1C"/>
            <w:vAlign w:val="center"/>
          </w:tcPr>
          <w:p>
            <w:r>
              <w:rPr>
                <w:b/>
                <w:color w:val="FFFFFF"/>
                <w:sz w:val="20"/>
              </w:rPr>
              <w:t>Cómo se calcula</w:t>
            </w:r>
          </w:p>
        </w:tc>
        <w:tc>
          <w:tcPr>
            <w:tcW w:type="dxa" w:w="1984"/>
            <w:shd w:val="clear" w:color="auto" w:fill="9B1C1C"/>
            <w:vAlign w:val="center"/>
          </w:tcPr>
          <w:p>
            <w:r>
              <w:rPr>
                <w:b/>
                <w:color w:val="FFFFFF"/>
                <w:sz w:val="20"/>
              </w:rPr>
              <w:t>Rango típico</w:t>
            </w:r>
          </w:p>
        </w:tc>
      </w:tr>
      <w:tr>
        <w:tc>
          <w:tcPr>
            <w:tcW w:type="dxa" w:w="2268"/>
            <w:vAlign w:val="center"/>
          </w:tcPr>
          <w:p>
            <w:r>
              <w:rPr>
                <w:sz w:val="20"/>
              </w:rPr>
              <w:t>coverage_obligatorias</w:t>
            </w:r>
          </w:p>
        </w:tc>
        <w:tc>
          <w:tcPr>
            <w:tcW w:type="dxa" w:w="5102"/>
            <w:vAlign w:val="center"/>
          </w:tcPr>
          <w:p>
            <w:r>
              <w:rPr>
                <w:sz w:val="20"/>
              </w:rPr>
              <w:t>N.º de habilidades obligatorias detectadas en el CV ÷ total de obligatorias de la vacante</w:t>
            </w:r>
          </w:p>
        </w:tc>
        <w:tc>
          <w:tcPr>
            <w:tcW w:type="dxa" w:w="1984"/>
            <w:vAlign w:val="center"/>
          </w:tcPr>
          <w:p>
            <w:r>
              <w:rPr>
                <w:sz w:val="20"/>
              </w:rPr>
              <w:t>0 – 1</w:t>
            </w:r>
          </w:p>
        </w:tc>
      </w:tr>
      <w:tr>
        <w:tc>
          <w:tcPr>
            <w:tcW w:type="dxa" w:w="2268"/>
            <w:shd w:val="clear" w:color="auto" w:fill="F2F2F2"/>
            <w:vAlign w:val="center"/>
          </w:tcPr>
          <w:p>
            <w:r>
              <w:rPr>
                <w:sz w:val="20"/>
              </w:rPr>
              <w:t>coverage_deseables</w:t>
            </w:r>
          </w:p>
        </w:tc>
        <w:tc>
          <w:tcPr>
            <w:tcW w:type="dxa" w:w="5102"/>
            <w:shd w:val="clear" w:color="auto" w:fill="F2F2F2"/>
            <w:vAlign w:val="center"/>
          </w:tcPr>
          <w:p>
            <w:r>
              <w:rPr>
                <w:sz w:val="20"/>
              </w:rPr>
              <w:t>N.º de habilidades deseables detectadas ÷ total de deseables de la vacante</w:t>
            </w:r>
          </w:p>
        </w:tc>
        <w:tc>
          <w:tcPr>
            <w:tcW w:type="dxa" w:w="1984"/>
            <w:shd w:val="clear" w:color="auto" w:fill="F2F2F2"/>
            <w:vAlign w:val="center"/>
          </w:tcPr>
          <w:p>
            <w:r>
              <w:rPr>
                <w:sz w:val="20"/>
              </w:rPr>
              <w:t>0 – 1</w:t>
            </w:r>
          </w:p>
        </w:tc>
      </w:tr>
      <w:tr>
        <w:tc>
          <w:tcPr>
            <w:tcW w:type="dxa" w:w="2268"/>
            <w:vAlign w:val="center"/>
          </w:tcPr>
          <w:p>
            <w:r>
              <w:rPr>
                <w:sz w:val="20"/>
              </w:rPr>
              <w:t>experiencia_ratio</w:t>
            </w:r>
          </w:p>
        </w:tc>
        <w:tc>
          <w:tcPr>
            <w:tcW w:type="dxa" w:w="5102"/>
            <w:vAlign w:val="center"/>
          </w:tcPr>
          <w:p>
            <w:r>
              <w:rPr>
                <w:sz w:val="20"/>
              </w:rPr>
              <w:t>Años de experiencia detectados ÷ años mínimos requeridos, con tope en 1.5</w:t>
            </w:r>
          </w:p>
        </w:tc>
        <w:tc>
          <w:tcPr>
            <w:tcW w:type="dxa" w:w="1984"/>
            <w:vAlign w:val="center"/>
          </w:tcPr>
          <w:p>
            <w:r>
              <w:rPr>
                <w:sz w:val="20"/>
              </w:rPr>
              <w:t>0 – 1.5</w:t>
            </w:r>
          </w:p>
        </w:tc>
      </w:tr>
      <w:tr>
        <w:tc>
          <w:tcPr>
            <w:tcW w:type="dxa" w:w="2268"/>
            <w:shd w:val="clear" w:color="auto" w:fill="F2F2F2"/>
            <w:vAlign w:val="center"/>
          </w:tcPr>
          <w:p>
            <w:r>
              <w:rPr>
                <w:sz w:val="20"/>
              </w:rPr>
              <w:t>educacion_match</w:t>
            </w:r>
          </w:p>
        </w:tc>
        <w:tc>
          <w:tcPr>
            <w:tcW w:type="dxa" w:w="5102"/>
            <w:shd w:val="clear" w:color="auto" w:fill="F2F2F2"/>
            <w:vAlign w:val="center"/>
          </w:tcPr>
          <w:p>
            <w:r>
              <w:rPr>
                <w:sz w:val="20"/>
              </w:rPr>
              <w:t>1.0 si el nivel educativo iguala o supera el requerido; si no, ratio de rangos (ninguno &lt; técnico &lt; pregrado &lt; posgrado)</w:t>
            </w:r>
          </w:p>
        </w:tc>
        <w:tc>
          <w:tcPr>
            <w:tcW w:type="dxa" w:w="1984"/>
            <w:shd w:val="clear" w:color="auto" w:fill="F2F2F2"/>
            <w:vAlign w:val="center"/>
          </w:tcPr>
          <w:p>
            <w:r>
              <w:rPr>
                <w:sz w:val="20"/>
              </w:rPr>
              <w:t>0 – 1</w:t>
            </w:r>
          </w:p>
        </w:tc>
      </w:tr>
      <w:tr>
        <w:tc>
          <w:tcPr>
            <w:tcW w:type="dxa" w:w="2268"/>
            <w:vAlign w:val="center"/>
          </w:tcPr>
          <w:p>
            <w:r>
              <w:rPr>
                <w:sz w:val="20"/>
              </w:rPr>
              <w:t>similitud_semantica</w:t>
            </w:r>
          </w:p>
        </w:tc>
        <w:tc>
          <w:tcPr>
            <w:tcW w:type="dxa" w:w="5102"/>
            <w:vAlign w:val="center"/>
          </w:tcPr>
          <w:p>
            <w:r>
              <w:rPr>
                <w:sz w:val="20"/>
              </w:rPr>
              <w:t>Coseno entre el embedding del CV completo y el embedding de la descripción de la vacante (sentence-transformers, all-MiniLM-L6-v2)</w:t>
            </w:r>
          </w:p>
        </w:tc>
        <w:tc>
          <w:tcPr>
            <w:tcW w:type="dxa" w:w="1984"/>
            <w:vAlign w:val="center"/>
          </w:tcPr>
          <w:p>
            <w:r>
              <w:rPr>
                <w:sz w:val="20"/>
              </w:rPr>
              <w:t>-1 – 1 (en la práctica, ~0 – 0.9)</w:t>
            </w:r>
          </w:p>
        </w:tc>
      </w:tr>
    </w:tbl>
    <w:p>
      <w:pPr>
        <w:spacing w:before="80" w:after="200"/>
        <w:jc w:val="center"/>
      </w:pPr>
      <w:r>
        <w:rPr>
          <w:i/>
          <w:color w:val="666666"/>
          <w:sz w:val="19"/>
        </w:rPr>
        <w:t>Tabla 1. Las cinco features de entrada al modelo de fit-score</w:t>
      </w:r>
    </w:p>
    <w:p>
      <w:pPr>
        <w:spacing w:after="160"/>
        <w:jc w:val="both"/>
      </w:pPr>
      <w:r>
        <w:rPr>
          <w:b w:val="0"/>
          <w:i w:val="0"/>
          <w:sz w:val="22"/>
        </w:rPr>
        <w:t>La detección de habilidades (para coverage_obligatorias/deseables) usa una taxonomía propia de más de 50 habilidades (data/skills_taxonomy.json) con coincidencia exacta y fuzzy matching (rapidfuzz) sobre n-gramas del texto, tolerante a tildes, errores tipográficos y frases de varias palabras — no requiere ningún modelo de lenguaje externo.</w:t>
      </w:r>
    </w:p>
    <w:p>
      <w:pPr>
        <w:pStyle w:val="Heading2"/>
      </w:pPr>
      <w:r>
        <w:t>2.1 Diseño deliberado: separación de features de scoring y de auditoría</w:t>
      </w:r>
    </w:p>
    <w:p>
      <w:pPr>
        <w:spacing w:after="160"/>
        <w:jc w:val="both"/>
      </w:pPr>
      <w:r>
        <w:rPr>
          <w:b w:val="0"/>
          <w:i w:val="0"/>
          <w:sz w:val="22"/>
        </w:rPr>
        <w:t>Dos campos adicionales — el tier de universidad y la brecha laboral en meses — se calculan en el mismo paso, pero se guardan aparte como audit_only_fields y NUNCA se pasan al modelo como feature. Se usan exclusivamente en el módulo de auditoría de sesgos (fairness.py) para evaluar el resultado del scoring, no para producirlo. Esta separación evita que el modelo aprenda a discriminar por esos proxies, incluso de forma indirecta.</w:t>
      </w:r>
    </w:p>
    <w:p>
      <w:r>
        <w:br w:type="page"/>
      </w:r>
    </w:p>
    <w:p>
      <w:pPr>
        <w:pStyle w:val="Heading1"/>
        <w:pBdr>
          <w:bottom w:val="single" w:sz="6" w:space="4" w:color="9B1C1C"/>
        </w:pBdr>
      </w:pPr>
      <w:r>
        <w:t>3. El Dataset Sintético</w:t>
      </w:r>
    </w:p>
    <w:p>
      <w:pPr>
        <w:pStyle w:val="Heading2"/>
      </w:pPr>
      <w:r>
        <w:t>3.1 Por qué datos sintéticos</w:t>
      </w:r>
    </w:p>
    <w:p>
      <w:pPr>
        <w:spacing w:after="160"/>
        <w:jc w:val="both"/>
      </w:pPr>
      <w:r>
        <w:rPr>
          <w:b w:val="0"/>
          <w:i w:val="0"/>
          <w:sz w:val="22"/>
        </w:rPr>
        <w:t>Entrenar con decisiones reales de contratación habría requerido acceso a datos históricos de una empresa real, con los problemas de privacidad, disponibilidad y tiempo que eso implica — inviable en el plazo del proyecto. En su lugar, se generó un dataset sintético completo de forma local y reproducible (src/synthetic_data.py), documentando explícitamente la metodología para que sea auditable en la defensa.</w:t>
      </w:r>
    </w:p>
    <w:p>
      <w:pPr>
        <w:pStyle w:val="Heading2"/>
      </w:pPr>
      <w:r>
        <w:t>3.2 Metodología de generación</w:t>
      </w:r>
    </w:p>
    <w:p>
      <w:pPr>
        <w:pStyle w:val="ListNumber"/>
        <w:spacing w:after="80"/>
      </w:pPr>
      <w:r>
        <w:t>Se recorren las 7 familias de puesto de la taxonomía (desarrollador backend/frontend, analista de datos, científico de datos, analista de ciberseguridad, pentester, ingeniero DevOps), cada una con su propia lista de habilidades obligatorias y deseables.</w:t>
      </w:r>
    </w:p>
    <w:p>
      <w:pPr>
        <w:pStyle w:val="ListNumber"/>
        <w:spacing w:after="80"/>
      </w:pPr>
      <w:r>
        <w:t>Para cada familia se generan 160 candidatos sintéticos. A cada uno se le asigna un «nivel de solapamiento» con la vacante (alto/medio/bajo, con probabilidades 35 %/40 %/25 %), que determina cuántas de las habilidades obligatorias y deseables realmente posee, más entre 1 y 4 habilidades irrelevantes de otras familias (ruido).</w:t>
      </w:r>
    </w:p>
    <w:p>
      <w:pPr>
        <w:pStyle w:val="ListNumber"/>
        <w:spacing w:after="80"/>
      </w:pPr>
      <w:r>
        <w:t>Se generan también años de experiencia (distribución normal centrada en el mínimo requerido), nivel educativo, universidad (o ninguna) y una posible brecha laboral, todos con distribuciones aleatorias controladas.</w:t>
      </w:r>
    </w:p>
    <w:p>
      <w:pPr>
        <w:pStyle w:val="ListNumber"/>
        <w:spacing w:after="80"/>
      </w:pPr>
      <w:r>
        <w:t>Con esos datos se redacta un CV en texto libre, con plantillas de experiencia, fechas realistas y una mezcla aleatoria de alias de cada habilidad (para que la detección por fuzzy matching se ejerza igual que con un CV real).</w:t>
      </w:r>
    </w:p>
    <w:p>
      <w:pPr>
        <w:pStyle w:val="ListNumber"/>
        <w:spacing w:after="80"/>
      </w:pPr>
      <w:r>
        <w:t>El CV sintético pasa por el mismo build_feature_vector que usaría un CV real — no hay un camino de features distinto para entrenamiento vs. inferencia, lo que evita discrepancias entre ambos (train/serve skew).</w:t>
      </w:r>
    </w:p>
    <w:p>
      <w:pPr>
        <w:pStyle w:val="Heading2"/>
      </w:pPr>
      <w:r>
        <w:t>3.3 La etiqueta ground-truth</w:t>
      </w:r>
    </w:p>
    <w:p>
      <w:pPr>
        <w:spacing w:after="160"/>
        <w:jc w:val="both"/>
      </w:pPr>
      <w:r>
        <w:rPr>
          <w:b w:val="0"/>
          <w:i w:val="0"/>
          <w:sz w:val="22"/>
        </w:rPr>
        <w:t>La etiqueta «apto / no apto» de cada fila se calcula con una fórmula explícita, ponderada, más ruido gaussiano para que la frontera no sea perfectamente separable:</w:t>
      </w:r>
    </w:p>
    <w:tbl>
      <w:tblPr>
        <w:tblW w:type="auto" w:w="0"/>
        <w:tblLook w:firstColumn="1" w:firstRow="1" w:lastColumn="0" w:lastRow="0" w:noHBand="0" w:noVBand="1" w:val="04A0"/>
      </w:tblPr>
      <w:tblGrid>
        <w:gridCol w:w="9071"/>
      </w:tblGrid>
      <w:tr>
        <w:tc>
          <w:tcPr>
            <w:tcW w:type="dxa" w:w="9406"/>
            <w:shd w:val="clear" w:color="auto" w:fill="F5F5F5"/>
            <w:tcBorders>
              <w:top w:val="single" w:sz="4" w:color="D0D0D0"/>
              <w:left w:val="single" w:sz="4" w:color="D0D0D0"/>
              <w:bottom w:val="single" w:sz="4" w:color="D0D0D0"/>
              <w:right w:val="single" w:sz="4" w:color="D0D0D0"/>
            </w:tcBorders>
          </w:tcPr>
          <w:p>
            <w:r>
              <w:rPr>
                <w:rFonts w:ascii="Consolas" w:hAnsi="Consolas"/>
                <w:color w:val="333333"/>
                <w:sz w:val="19"/>
              </w:rPr>
              <w:t>raw_score = 0.45 * coverage_obligatorias</w:t>
            </w:r>
          </w:p>
          <w:p>
            <w:r>
              <w:rPr>
                <w:rFonts w:ascii="Consolas" w:hAnsi="Consolas"/>
                <w:color w:val="333333"/>
                <w:sz w:val="19"/>
              </w:rPr>
              <w:t xml:space="preserve">           + 0.25 * coverage_deseables</w:t>
            </w:r>
          </w:p>
          <w:p>
            <w:r>
              <w:rPr>
                <w:rFonts w:ascii="Consolas" w:hAnsi="Consolas"/>
                <w:color w:val="333333"/>
                <w:sz w:val="19"/>
              </w:rPr>
              <w:t xml:space="preserve">           + 0.15 * min(experiencia_ratio, 1.2) / 1.2</w:t>
            </w:r>
          </w:p>
          <w:p>
            <w:r>
              <w:rPr>
                <w:rFonts w:ascii="Consolas" w:hAnsi="Consolas"/>
                <w:color w:val="333333"/>
                <w:sz w:val="19"/>
              </w:rPr>
              <w:t xml:space="preserve">           + 0.15 * educacion_match</w:t>
            </w:r>
          </w:p>
          <w:p>
            <w:r>
              <w:rPr>
                <w:rFonts w:ascii="Consolas" w:hAnsi="Consolas"/>
                <w:color w:val="333333"/>
                <w:sz w:val="19"/>
              </w:rPr>
            </w:r>
          </w:p>
          <w:p>
            <w:r>
              <w:rPr>
                <w:rFonts w:ascii="Consolas" w:hAnsi="Consolas"/>
                <w:color w:val="333333"/>
                <w:sz w:val="19"/>
              </w:rPr>
              <w:t>etiqueta = 1  si  (raw_score + ruido_gaussiano) &gt;= 0.62</w:t>
            </w:r>
          </w:p>
          <w:p>
            <w:r>
              <w:rPr>
                <w:rFonts w:ascii="Consolas" w:hAnsi="Consolas"/>
                <w:color w:val="333333"/>
                <w:sz w:val="19"/>
              </w:rPr>
              <w:t>etiqueta = 0  en caso contrario</w:t>
            </w:r>
          </w:p>
        </w:tc>
      </w:tr>
    </w:tbl>
    <w:p>
      <w:pPr>
        <w:spacing w:after="40"/>
      </w:pPr>
    </w:p>
    <w:p>
      <w:pPr>
        <w:spacing w:after="160"/>
        <w:jc w:val="both"/>
      </w:pPr>
      <w:r>
        <w:rPr>
          <w:b w:val="0"/>
          <w:i w:val="0"/>
          <w:sz w:val="22"/>
        </w:rPr>
        <w:t>Decisión de diseño clave: la similitud_semantica NO forma parte de esta fórmula. Es una señal «libre» que el modelo puede aprovechar para generalizar más allá de la heurística que generó la etiqueta — de la misma forma en que, con datos reales, un reclutador no ve explícitamente un número de similitud semántica al decidir, pero la redacción del CV sí influye en su percepción del candidato.</w:t>
      </w:r>
    </w:p>
    <w:p>
      <w:pPr>
        <w:pStyle w:val="Heading2"/>
      </w:pPr>
      <w:r>
        <w:t>3.4 Tamaño y balance del dataset</w:t>
      </w:r>
    </w:p>
    <w:tbl>
      <w:tblPr>
        <w:tblStyle w:val="TableGrid"/>
        <w:tblW w:type="auto" w:w="0"/>
        <w:tblLook w:firstColumn="1" w:firstRow="1" w:lastColumn="0" w:lastRow="0" w:noHBand="0" w:noVBand="1" w:val="04A0"/>
      </w:tblPr>
      <w:tblGrid>
        <w:gridCol w:w="4703"/>
        <w:gridCol w:w="4703"/>
      </w:tblGrid>
      <w:tr>
        <w:tc>
          <w:tcPr>
            <w:tcW w:type="dxa" w:w="3402"/>
            <w:shd w:val="clear" w:color="auto" w:fill="9B1C1C"/>
            <w:vAlign w:val="center"/>
          </w:tcPr>
          <w:p>
            <w:r>
              <w:rPr>
                <w:b/>
                <w:color w:val="FFFFFF"/>
                <w:sz w:val="20"/>
              </w:rPr>
              <w:t>Propiedad</w:t>
            </w:r>
          </w:p>
        </w:tc>
        <w:tc>
          <w:tcPr>
            <w:tcW w:type="dxa" w:w="5386"/>
            <w:shd w:val="clear" w:color="auto" w:fill="9B1C1C"/>
            <w:vAlign w:val="center"/>
          </w:tcPr>
          <w:p>
            <w:r>
              <w:rPr>
                <w:b/>
                <w:color w:val="FFFFFF"/>
                <w:sz w:val="20"/>
              </w:rPr>
              <w:t>Valor</w:t>
            </w:r>
          </w:p>
        </w:tc>
      </w:tr>
      <w:tr>
        <w:tc>
          <w:tcPr>
            <w:tcW w:type="dxa" w:w="3402"/>
            <w:vAlign w:val="center"/>
          </w:tcPr>
          <w:p>
            <w:r>
              <w:rPr>
                <w:sz w:val="20"/>
              </w:rPr>
              <w:t>Filas totales</w:t>
            </w:r>
          </w:p>
        </w:tc>
        <w:tc>
          <w:tcPr>
            <w:tcW w:type="dxa" w:w="5386"/>
            <w:vAlign w:val="center"/>
          </w:tcPr>
          <w:p>
            <w:r>
              <w:rPr>
                <w:sz w:val="20"/>
              </w:rPr>
              <w:t>1 120 (7 familias × 160 candidatos)</w:t>
            </w:r>
          </w:p>
        </w:tc>
      </w:tr>
      <w:tr>
        <w:tc>
          <w:tcPr>
            <w:tcW w:type="dxa" w:w="3402"/>
            <w:shd w:val="clear" w:color="auto" w:fill="F2F2F2"/>
            <w:vAlign w:val="center"/>
          </w:tcPr>
          <w:p>
            <w:r>
              <w:rPr>
                <w:sz w:val="20"/>
              </w:rPr>
              <w:t>Clase «apto» (1)</w:t>
            </w:r>
          </w:p>
        </w:tc>
        <w:tc>
          <w:tcPr>
            <w:tcW w:type="dxa" w:w="5386"/>
            <w:shd w:val="clear" w:color="auto" w:fill="F2F2F2"/>
            <w:vAlign w:val="center"/>
          </w:tcPr>
          <w:p>
            <w:r>
              <w:rPr>
                <w:sz w:val="20"/>
              </w:rPr>
              <w:t>≈ 37.5 % de las filas</w:t>
            </w:r>
          </w:p>
        </w:tc>
      </w:tr>
      <w:tr>
        <w:tc>
          <w:tcPr>
            <w:tcW w:type="dxa" w:w="3402"/>
            <w:vAlign w:val="center"/>
          </w:tcPr>
          <w:p>
            <w:r>
              <w:rPr>
                <w:sz w:val="20"/>
              </w:rPr>
              <w:t>Clase «no apto» (0)</w:t>
            </w:r>
          </w:p>
        </w:tc>
        <w:tc>
          <w:tcPr>
            <w:tcW w:type="dxa" w:w="5386"/>
            <w:vAlign w:val="center"/>
          </w:tcPr>
          <w:p>
            <w:r>
              <w:rPr>
                <w:sz w:val="20"/>
              </w:rPr>
              <w:t>≈ 62.5 % de las filas</w:t>
            </w:r>
          </w:p>
        </w:tc>
      </w:tr>
      <w:tr>
        <w:tc>
          <w:tcPr>
            <w:tcW w:type="dxa" w:w="3402"/>
            <w:shd w:val="clear" w:color="auto" w:fill="F2F2F2"/>
            <w:vAlign w:val="center"/>
          </w:tcPr>
          <w:p>
            <w:r>
              <w:rPr>
                <w:sz w:val="20"/>
              </w:rPr>
              <w:t>Semilla aleatoria</w:t>
            </w:r>
          </w:p>
        </w:tc>
        <w:tc>
          <w:tcPr>
            <w:tcW w:type="dxa" w:w="5386"/>
            <w:shd w:val="clear" w:color="auto" w:fill="F2F2F2"/>
            <w:vAlign w:val="center"/>
          </w:tcPr>
          <w:p>
            <w:r>
              <w:rPr>
                <w:sz w:val="20"/>
              </w:rPr>
              <w:t>42 (reproducible)</w:t>
            </w:r>
          </w:p>
        </w:tc>
      </w:tr>
      <w:tr>
        <w:tc>
          <w:tcPr>
            <w:tcW w:type="dxa" w:w="3402"/>
            <w:vAlign w:val="center"/>
          </w:tcPr>
          <w:p>
            <w:r>
              <w:rPr>
                <w:sz w:val="20"/>
              </w:rPr>
              <w:t>Ubicación</w:t>
            </w:r>
          </w:p>
        </w:tc>
        <w:tc>
          <w:tcPr>
            <w:tcW w:type="dxa" w:w="5386"/>
            <w:vAlign w:val="center"/>
          </w:tcPr>
          <w:p>
            <w:r>
              <w:rPr>
                <w:sz w:val="20"/>
              </w:rPr>
              <w:t>data/synthetic_dataset.csv</w:t>
            </w:r>
          </w:p>
        </w:tc>
      </w:tr>
    </w:tbl>
    <w:p>
      <w:pPr>
        <w:spacing w:before="80" w:after="200"/>
        <w:jc w:val="center"/>
      </w:pPr>
      <w:r>
        <w:rPr>
          <w:i/>
          <w:color w:val="666666"/>
          <w:sz w:val="19"/>
        </w:rPr>
        <w:t>Tabla 2. Características del dataset sintético generado</w:t>
      </w:r>
    </w:p>
    <w:p>
      <w:pPr>
        <w:spacing w:after="160"/>
        <w:jc w:val="both"/>
      </w:pPr>
      <w:r>
        <w:rPr>
          <w:b w:val="0"/>
          <w:i w:val="0"/>
          <w:sz w:val="22"/>
        </w:rPr>
        <w:t>El desbalance moderado (no 50/50) es intencional y realista: en un proceso de selección real, la mayoría de los postulantes no cumple todos los requisitos de una vacante específica.</w:t>
      </w:r>
    </w:p>
    <w:p>
      <w:r>
        <w:br w:type="page"/>
      </w:r>
    </w:p>
    <w:p>
      <w:pPr>
        <w:pStyle w:val="Heading1"/>
        <w:pBdr>
          <w:bottom w:val="single" w:sz="6" w:space="4" w:color="9B1C1C"/>
        </w:pBdr>
      </w:pPr>
      <w:r>
        <w:t>4. Entrenamiento del Modelo</w:t>
      </w:r>
    </w:p>
    <w:p>
      <w:pPr>
        <w:pStyle w:val="Heading2"/>
      </w:pPr>
      <w:r>
        <w:t>4.1 Configuración</w:t>
      </w:r>
    </w:p>
    <w:tbl>
      <w:tblPr>
        <w:tblStyle w:val="TableGrid"/>
        <w:tblW w:type="auto" w:w="0"/>
        <w:tblLook w:firstColumn="1" w:firstRow="1" w:lastColumn="0" w:lastRow="0" w:noHBand="0" w:noVBand="1" w:val="04A0"/>
      </w:tblPr>
      <w:tblGrid>
        <w:gridCol w:w="4703"/>
        <w:gridCol w:w="4703"/>
      </w:tblGrid>
      <w:tr>
        <w:tc>
          <w:tcPr>
            <w:tcW w:type="dxa" w:w="3402"/>
            <w:shd w:val="clear" w:color="auto" w:fill="9B1C1C"/>
            <w:vAlign w:val="center"/>
          </w:tcPr>
          <w:p>
            <w:r>
              <w:rPr>
                <w:b/>
                <w:color w:val="FFFFFF"/>
                <w:sz w:val="20"/>
              </w:rPr>
              <w:t>Parámetro</w:t>
            </w:r>
          </w:p>
        </w:tc>
        <w:tc>
          <w:tcPr>
            <w:tcW w:type="dxa" w:w="5386"/>
            <w:shd w:val="clear" w:color="auto" w:fill="9B1C1C"/>
            <w:vAlign w:val="center"/>
          </w:tcPr>
          <w:p>
            <w:r>
              <w:rPr>
                <w:b/>
                <w:color w:val="FFFFFF"/>
                <w:sz w:val="20"/>
              </w:rPr>
              <w:t>Valor</w:t>
            </w:r>
          </w:p>
        </w:tc>
      </w:tr>
      <w:tr>
        <w:tc>
          <w:tcPr>
            <w:tcW w:type="dxa" w:w="3402"/>
            <w:vAlign w:val="center"/>
          </w:tcPr>
          <w:p>
            <w:r>
              <w:rPr>
                <w:sz w:val="20"/>
              </w:rPr>
              <w:t>Algoritmo</w:t>
            </w:r>
          </w:p>
        </w:tc>
        <w:tc>
          <w:tcPr>
            <w:tcW w:type="dxa" w:w="5386"/>
            <w:vAlign w:val="center"/>
          </w:tcPr>
          <w:p>
            <w:r>
              <w:rPr>
                <w:sz w:val="20"/>
              </w:rPr>
              <w:t>GradientBoostingClassifier (scikit-learn)</w:t>
            </w:r>
          </w:p>
        </w:tc>
      </w:tr>
      <w:tr>
        <w:tc>
          <w:tcPr>
            <w:tcW w:type="dxa" w:w="3402"/>
            <w:shd w:val="clear" w:color="auto" w:fill="F2F2F2"/>
            <w:vAlign w:val="center"/>
          </w:tcPr>
          <w:p>
            <w:r>
              <w:rPr>
                <w:sz w:val="20"/>
              </w:rPr>
              <w:t>n_estimators</w:t>
            </w:r>
          </w:p>
        </w:tc>
        <w:tc>
          <w:tcPr>
            <w:tcW w:type="dxa" w:w="5386"/>
            <w:shd w:val="clear" w:color="auto" w:fill="F2F2F2"/>
            <w:vAlign w:val="center"/>
          </w:tcPr>
          <w:p>
            <w:r>
              <w:rPr>
                <w:sz w:val="20"/>
              </w:rPr>
              <w:t>150</w:t>
            </w:r>
          </w:p>
        </w:tc>
      </w:tr>
      <w:tr>
        <w:tc>
          <w:tcPr>
            <w:tcW w:type="dxa" w:w="3402"/>
            <w:vAlign w:val="center"/>
          </w:tcPr>
          <w:p>
            <w:r>
              <w:rPr>
                <w:sz w:val="20"/>
              </w:rPr>
              <w:t>max_depth</w:t>
            </w:r>
          </w:p>
        </w:tc>
        <w:tc>
          <w:tcPr>
            <w:tcW w:type="dxa" w:w="5386"/>
            <w:vAlign w:val="center"/>
          </w:tcPr>
          <w:p>
            <w:r>
              <w:rPr>
                <w:sz w:val="20"/>
              </w:rPr>
              <w:t>3</w:t>
            </w:r>
          </w:p>
        </w:tc>
      </w:tr>
      <w:tr>
        <w:tc>
          <w:tcPr>
            <w:tcW w:type="dxa" w:w="3402"/>
            <w:shd w:val="clear" w:color="auto" w:fill="F2F2F2"/>
            <w:vAlign w:val="center"/>
          </w:tcPr>
          <w:p>
            <w:r>
              <w:rPr>
                <w:sz w:val="20"/>
              </w:rPr>
              <w:t>learning_rate</w:t>
            </w:r>
          </w:p>
        </w:tc>
        <w:tc>
          <w:tcPr>
            <w:tcW w:type="dxa" w:w="5386"/>
            <w:shd w:val="clear" w:color="auto" w:fill="F2F2F2"/>
            <w:vAlign w:val="center"/>
          </w:tcPr>
          <w:p>
            <w:r>
              <w:rPr>
                <w:sz w:val="20"/>
              </w:rPr>
              <w:t>0.08</w:t>
            </w:r>
          </w:p>
        </w:tc>
      </w:tr>
      <w:tr>
        <w:tc>
          <w:tcPr>
            <w:tcW w:type="dxa" w:w="3402"/>
            <w:vAlign w:val="center"/>
          </w:tcPr>
          <w:p>
            <w:r>
              <w:rPr>
                <w:sz w:val="20"/>
              </w:rPr>
              <w:t>División train/test</w:t>
            </w:r>
          </w:p>
        </w:tc>
        <w:tc>
          <w:tcPr>
            <w:tcW w:type="dxa" w:w="5386"/>
            <w:vAlign w:val="center"/>
          </w:tcPr>
          <w:p>
            <w:r>
              <w:rPr>
                <w:sz w:val="20"/>
              </w:rPr>
              <w:t>80 % / 20 %, estratificada por clase</w:t>
            </w:r>
          </w:p>
        </w:tc>
      </w:tr>
      <w:tr>
        <w:tc>
          <w:tcPr>
            <w:tcW w:type="dxa" w:w="3402"/>
            <w:shd w:val="clear" w:color="auto" w:fill="F2F2F2"/>
            <w:vAlign w:val="center"/>
          </w:tcPr>
          <w:p>
            <w:r>
              <w:rPr>
                <w:sz w:val="20"/>
              </w:rPr>
              <w:t>random_state</w:t>
            </w:r>
          </w:p>
        </w:tc>
        <w:tc>
          <w:tcPr>
            <w:tcW w:type="dxa" w:w="5386"/>
            <w:shd w:val="clear" w:color="auto" w:fill="F2F2F2"/>
            <w:vAlign w:val="center"/>
          </w:tcPr>
          <w:p>
            <w:r>
              <w:rPr>
                <w:sz w:val="20"/>
              </w:rPr>
              <w:t>42</w:t>
            </w:r>
          </w:p>
        </w:tc>
      </w:tr>
    </w:tbl>
    <w:p>
      <w:pPr>
        <w:spacing w:before="80" w:after="200"/>
        <w:jc w:val="center"/>
      </w:pPr>
      <w:r>
        <w:rPr>
          <w:i/>
          <w:color w:val="666666"/>
          <w:sz w:val="19"/>
        </w:rPr>
        <w:t>Tabla 3. Hiperparámetros del modelo de fit-score (src/train_model.py)</w:t>
      </w:r>
    </w:p>
    <w:p>
      <w:pPr>
        <w:pStyle w:val="Heading2"/>
      </w:pPr>
      <w:r>
        <w:t>4.2 Métricas de evaluación (holdout, 20 %)</w:t>
      </w:r>
    </w:p>
    <w:tbl>
      <w:tblPr>
        <w:tblStyle w:val="TableGrid"/>
        <w:tblW w:type="auto" w:w="0"/>
        <w:tblLook w:firstColumn="1" w:firstRow="1" w:lastColumn="0" w:lastRow="0" w:noHBand="0" w:noVBand="1" w:val="04A0"/>
      </w:tblPr>
      <w:tblGrid>
        <w:gridCol w:w="4703"/>
        <w:gridCol w:w="4703"/>
      </w:tblGrid>
      <w:tr>
        <w:tc>
          <w:tcPr>
            <w:tcW w:type="dxa" w:w="4535"/>
            <w:shd w:val="clear" w:color="auto" w:fill="9B1C1C"/>
            <w:vAlign w:val="center"/>
          </w:tcPr>
          <w:p>
            <w:r>
              <w:rPr>
                <w:b/>
                <w:color w:val="FFFFFF"/>
                <w:sz w:val="20"/>
              </w:rPr>
              <w:t>Métrica</w:t>
            </w:r>
          </w:p>
        </w:tc>
        <w:tc>
          <w:tcPr>
            <w:tcW w:type="dxa" w:w="4252"/>
            <w:shd w:val="clear" w:color="auto" w:fill="9B1C1C"/>
            <w:vAlign w:val="center"/>
          </w:tcPr>
          <w:p>
            <w:r>
              <w:rPr>
                <w:b/>
                <w:color w:val="FFFFFF"/>
                <w:sz w:val="20"/>
              </w:rPr>
              <w:t>Valor</w:t>
            </w:r>
          </w:p>
        </w:tc>
      </w:tr>
      <w:tr>
        <w:tc>
          <w:tcPr>
            <w:tcW w:type="dxa" w:w="4535"/>
            <w:vAlign w:val="center"/>
          </w:tcPr>
          <w:p>
            <w:r>
              <w:rPr>
                <w:sz w:val="20"/>
              </w:rPr>
              <w:t>Accuracy</w:t>
            </w:r>
          </w:p>
        </w:tc>
        <w:tc>
          <w:tcPr>
            <w:tcW w:type="dxa" w:w="4252"/>
            <w:vAlign w:val="center"/>
          </w:tcPr>
          <w:p>
            <w:r>
              <w:rPr>
                <w:sz w:val="20"/>
              </w:rPr>
              <w:t>91.1 %</w:t>
            </w:r>
          </w:p>
        </w:tc>
      </w:tr>
      <w:tr>
        <w:tc>
          <w:tcPr>
            <w:tcW w:type="dxa" w:w="4535"/>
            <w:shd w:val="clear" w:color="auto" w:fill="F2F2F2"/>
            <w:vAlign w:val="center"/>
          </w:tcPr>
          <w:p>
            <w:r>
              <w:rPr>
                <w:sz w:val="20"/>
              </w:rPr>
              <w:t>F1-score</w:t>
            </w:r>
          </w:p>
        </w:tc>
        <w:tc>
          <w:tcPr>
            <w:tcW w:type="dxa" w:w="4252"/>
            <w:shd w:val="clear" w:color="auto" w:fill="F2F2F2"/>
            <w:vAlign w:val="center"/>
          </w:tcPr>
          <w:p>
            <w:r>
              <w:rPr>
                <w:sz w:val="20"/>
              </w:rPr>
              <w:t>88.0 %</w:t>
            </w:r>
          </w:p>
        </w:tc>
      </w:tr>
      <w:tr>
        <w:tc>
          <w:tcPr>
            <w:tcW w:type="dxa" w:w="4535"/>
            <w:vAlign w:val="center"/>
          </w:tcPr>
          <w:p>
            <w:r>
              <w:rPr>
                <w:sz w:val="20"/>
              </w:rPr>
              <w:t>ROC-AUC</w:t>
            </w:r>
          </w:p>
        </w:tc>
        <w:tc>
          <w:tcPr>
            <w:tcW w:type="dxa" w:w="4252"/>
            <w:vAlign w:val="center"/>
          </w:tcPr>
          <w:p>
            <w:r>
              <w:rPr>
                <w:sz w:val="20"/>
              </w:rPr>
              <w:t>97.5 %</w:t>
            </w:r>
          </w:p>
        </w:tc>
      </w:tr>
    </w:tbl>
    <w:p>
      <w:pPr>
        <w:spacing w:before="80" w:after="200"/>
        <w:jc w:val="center"/>
      </w:pPr>
      <w:r>
        <w:rPr>
          <w:i/>
          <w:color w:val="666666"/>
          <w:sz w:val="19"/>
        </w:rPr>
        <w:t>Tabla 4. Métricas obtenidas sobre el conjunto de prueba, no visto durante el entrenamiento</w:t>
      </w:r>
    </w:p>
    <w:p>
      <w:pPr>
        <w:spacing w:after="160"/>
        <w:jc w:val="both"/>
      </w:pPr>
      <w:r>
        <w:rPr>
          <w:b w:val="0"/>
          <w:i w:val="0"/>
          <w:sz w:val="22"/>
        </w:rPr>
        <w:t>Un ROC-AUC de 97.5 % indica que el modelo separa muy bien las clases en términos de ranking (orden relativo de candidatos), que es precisamente el uso que se le da en el panel — no es necesario que la frontera de decisión al 50 % sea perfecta, porque lo que importa es el orden del ranking, no solo la etiqueta binaria.</w:t>
      </w:r>
    </w:p>
    <w:p>
      <w:pPr>
        <w:pStyle w:val="Heading2"/>
      </w:pPr>
      <w:r>
        <w:t>4.3 Importancia de features</w:t>
      </w:r>
    </w:p>
    <w:tbl>
      <w:tblPr>
        <w:tblStyle w:val="TableGrid"/>
        <w:tblW w:type="auto" w:w="0"/>
        <w:tblLook w:firstColumn="1" w:firstRow="1" w:lastColumn="0" w:lastRow="0" w:noHBand="0" w:noVBand="1" w:val="04A0"/>
      </w:tblPr>
      <w:tblGrid>
        <w:gridCol w:w="4703"/>
        <w:gridCol w:w="4703"/>
      </w:tblGrid>
      <w:tr>
        <w:tc>
          <w:tcPr>
            <w:tcW w:type="dxa" w:w="6236"/>
            <w:shd w:val="clear" w:color="auto" w:fill="9B1C1C"/>
            <w:vAlign w:val="center"/>
          </w:tcPr>
          <w:p>
            <w:r>
              <w:rPr>
                <w:b/>
                <w:color w:val="FFFFFF"/>
                <w:sz w:val="20"/>
              </w:rPr>
              <w:t>Feature</w:t>
            </w:r>
          </w:p>
        </w:tc>
        <w:tc>
          <w:tcPr>
            <w:tcW w:type="dxa" w:w="2551"/>
            <w:shd w:val="clear" w:color="auto" w:fill="9B1C1C"/>
            <w:vAlign w:val="center"/>
          </w:tcPr>
          <w:p>
            <w:r>
              <w:rPr>
                <w:b/>
                <w:color w:val="FFFFFF"/>
                <w:sz w:val="20"/>
              </w:rPr>
              <w:t>Importancia</w:t>
            </w:r>
          </w:p>
        </w:tc>
      </w:tr>
      <w:tr>
        <w:tc>
          <w:tcPr>
            <w:tcW w:type="dxa" w:w="6236"/>
            <w:vAlign w:val="center"/>
          </w:tcPr>
          <w:p>
            <w:r>
              <w:rPr>
                <w:sz w:val="20"/>
              </w:rPr>
              <w:t>Cobertura de skills obligatorias</w:t>
            </w:r>
          </w:p>
        </w:tc>
        <w:tc>
          <w:tcPr>
            <w:tcW w:type="dxa" w:w="2551"/>
            <w:vAlign w:val="center"/>
          </w:tcPr>
          <w:p>
            <w:r>
              <w:rPr>
                <w:sz w:val="20"/>
              </w:rPr>
              <w:t>81.2 %</w:t>
            </w:r>
          </w:p>
        </w:tc>
      </w:tr>
      <w:tr>
        <w:tc>
          <w:tcPr>
            <w:tcW w:type="dxa" w:w="6236"/>
            <w:shd w:val="clear" w:color="auto" w:fill="F2F2F2"/>
            <w:vAlign w:val="center"/>
          </w:tcPr>
          <w:p>
            <w:r>
              <w:rPr>
                <w:sz w:val="20"/>
              </w:rPr>
              <w:t>Cobertura de skills deseables</w:t>
            </w:r>
          </w:p>
        </w:tc>
        <w:tc>
          <w:tcPr>
            <w:tcW w:type="dxa" w:w="2551"/>
            <w:shd w:val="clear" w:color="auto" w:fill="F2F2F2"/>
            <w:vAlign w:val="center"/>
          </w:tcPr>
          <w:p>
            <w:r>
              <w:rPr>
                <w:sz w:val="20"/>
              </w:rPr>
              <w:t>6.2 %</w:t>
            </w:r>
          </w:p>
        </w:tc>
      </w:tr>
      <w:tr>
        <w:tc>
          <w:tcPr>
            <w:tcW w:type="dxa" w:w="6236"/>
            <w:vAlign w:val="center"/>
          </w:tcPr>
          <w:p>
            <w:r>
              <w:rPr>
                <w:sz w:val="20"/>
              </w:rPr>
              <w:t>Similitud semántica CV↔vacante</w:t>
            </w:r>
          </w:p>
        </w:tc>
        <w:tc>
          <w:tcPr>
            <w:tcW w:type="dxa" w:w="2551"/>
            <w:vAlign w:val="center"/>
          </w:tcPr>
          <w:p>
            <w:r>
              <w:rPr>
                <w:sz w:val="20"/>
              </w:rPr>
              <w:t>4.8 %</w:t>
            </w:r>
          </w:p>
        </w:tc>
      </w:tr>
      <w:tr>
        <w:tc>
          <w:tcPr>
            <w:tcW w:type="dxa" w:w="6236"/>
            <w:shd w:val="clear" w:color="auto" w:fill="F2F2F2"/>
            <w:vAlign w:val="center"/>
          </w:tcPr>
          <w:p>
            <w:r>
              <w:rPr>
                <w:sz w:val="20"/>
              </w:rPr>
              <w:t>Años de experiencia vs. requerido</w:t>
            </w:r>
          </w:p>
        </w:tc>
        <w:tc>
          <w:tcPr>
            <w:tcW w:type="dxa" w:w="2551"/>
            <w:shd w:val="clear" w:color="auto" w:fill="F2F2F2"/>
            <w:vAlign w:val="center"/>
          </w:tcPr>
          <w:p>
            <w:r>
              <w:rPr>
                <w:sz w:val="20"/>
              </w:rPr>
              <w:t>4.3 %</w:t>
            </w:r>
          </w:p>
        </w:tc>
      </w:tr>
      <w:tr>
        <w:tc>
          <w:tcPr>
            <w:tcW w:type="dxa" w:w="6236"/>
            <w:vAlign w:val="center"/>
          </w:tcPr>
          <w:p>
            <w:r>
              <w:rPr>
                <w:sz w:val="20"/>
              </w:rPr>
              <w:t>Nivel educativo vs. requerido</w:t>
            </w:r>
          </w:p>
        </w:tc>
        <w:tc>
          <w:tcPr>
            <w:tcW w:type="dxa" w:w="2551"/>
            <w:vAlign w:val="center"/>
          </w:tcPr>
          <w:p>
            <w:r>
              <w:rPr>
                <w:sz w:val="20"/>
              </w:rPr>
              <w:t>3.5 %</w:t>
            </w:r>
          </w:p>
        </w:tc>
      </w:tr>
    </w:tbl>
    <w:p>
      <w:pPr>
        <w:spacing w:before="80" w:after="200"/>
        <w:jc w:val="center"/>
      </w:pPr>
      <w:r>
        <w:rPr>
          <w:i/>
          <w:color w:val="666666"/>
          <w:sz w:val="19"/>
        </w:rPr>
        <w:t>Tabla 5. Importancia relativa de cada feature en el modelo entrenado</w:t>
      </w:r>
    </w:p>
    <w:p>
      <w:pPr>
        <w:spacing w:after="160"/>
        <w:jc w:val="both"/>
      </w:pPr>
      <w:r>
        <w:rPr>
          <w:b w:val="0"/>
          <w:i w:val="0"/>
          <w:sz w:val="22"/>
        </w:rPr>
        <w:t>La cobertura de habilidades obligatorias domina la decisión del modelo, lo cual es coherente con la fórmula de etiquetado (peso 0.45) y con el sentido común de un proceso de selección: sin las habilidades obligatorias, ningún otro factor compensa. Esto también explica por qué, en la práctica, el score de un candidato tiende a subir de forma abrupta al pasar de cubrir 2 de 3 a 3 de 3 habilidades obligatorias, en vez de crecer de forma perfectamente lineal.</w:t>
      </w:r>
    </w:p>
    <w:p>
      <w:r>
        <w:br w:type="page"/>
      </w:r>
    </w:p>
    <w:p>
      <w:pPr>
        <w:pStyle w:val="Heading1"/>
        <w:pBdr>
          <w:bottom w:val="single" w:sz="6" w:space="4" w:color="9B1C1C"/>
        </w:pBdr>
      </w:pPr>
      <w:r>
        <w:t>5. Cómo Funciona en Tiempo Real (Inferencia)</w:t>
      </w:r>
    </w:p>
    <w:p>
      <w:pPr>
        <w:spacing w:after="160"/>
        <w:jc w:val="both"/>
      </w:pPr>
      <w:r>
        <w:rPr>
          <w:b w:val="0"/>
          <w:i w:val="0"/>
          <w:sz w:val="22"/>
        </w:rPr>
        <w:t>Cuando un/a reclutador/a sube un CV real en el panel, ocurre lo siguiente (src/scoring_pipeline.py):</w:t>
      </w:r>
    </w:p>
    <w:p>
      <w:pPr>
        <w:pStyle w:val="ListNumber"/>
        <w:spacing w:after="80"/>
      </w:pPr>
      <w:r>
        <w:t>parsing.py extrae el texto crudo del PDF/DOCX/TXT.</w:t>
      </w:r>
    </w:p>
    <w:p>
      <w:pPr>
        <w:pStyle w:val="ListNumber"/>
        <w:spacing w:after="80"/>
      </w:pPr>
      <w:r>
        <w:t>taxonomy.py detecta qué habilidades de la taxonomía aparecen en el texto (exacto + fuzzy matching).</w:t>
      </w:r>
    </w:p>
    <w:p>
      <w:pPr>
        <w:pStyle w:val="ListNumber"/>
        <w:spacing w:after="80"/>
      </w:pPr>
      <w:r>
        <w:t>features.py calcula el mismo vector de 5 características que se usó en entrenamiento.</w:t>
      </w:r>
    </w:p>
    <w:p>
      <w:pPr>
        <w:pStyle w:val="ListNumber"/>
        <w:spacing w:after="80"/>
      </w:pPr>
      <w:r>
        <w:t>El modelo entrenado (fit_score_model.joblib) recibe ese vector y devuelve predict_proba — el score de ajuste.</w:t>
      </w:r>
    </w:p>
    <w:p>
      <w:pPr>
        <w:pStyle w:val="ListNumber"/>
        <w:spacing w:after="80"/>
      </w:pPr>
      <w:r>
        <w:t>explainability.py pasa el mismo vector por un SHAP TreeExplainer, que calcula exactamente cuánto contribuyó cada feature a alejar la predicción del promedio del modelo (valores SHAP), en positivo o negativo.</w:t>
      </w:r>
    </w:p>
    <w:p>
      <w:pPr>
        <w:pStyle w:val="ListNumber"/>
        <w:spacing w:after="80"/>
      </w:pPr>
      <w:r>
        <w:t>justify.py traduce el resultado a una explicación en lenguaje natural, sin usar ningún modelo de lenguaje — solo reglas sobre los valores ya calculados.</w:t>
      </w:r>
    </w:p>
    <w:p>
      <w:pPr>
        <w:spacing w:after="160"/>
        <w:jc w:val="both"/>
      </w:pPr>
      <w:r>
        <w:rPr>
          <w:b w:val="0"/>
          <w:i w:val="0"/>
          <w:sz w:val="22"/>
        </w:rPr>
        <w:t>Todo el proceso, desde que se sube el archivo hasta que aparece el score, corre en el mismo proceso local de Python — no hay llamadas de red a ningún servicio de IA de pago.</w:t>
      </w:r>
    </w:p>
    <w:p>
      <w:pPr>
        <w:pStyle w:val="Heading2"/>
      </w:pPr>
      <w:r>
        <w:t>5.1 Explicabilidad con SHAP</w:t>
      </w:r>
    </w:p>
    <w:p>
      <w:pPr>
        <w:spacing w:after="160"/>
        <w:jc w:val="both"/>
      </w:pPr>
      <w:r>
        <w:rPr>
          <w:b w:val="0"/>
          <w:i w:val="0"/>
          <w:sz w:val="22"/>
        </w:rPr>
        <w:t>SHAP (SHapley Additive exPlanations) asigna a cada feature un «valor de Shapley»: cuánto cambia la predicción del modelo, en promedio, al considerar esa feature frente a no considerarla, teniendo en cuenta todas las combinaciones posibles con las demás features. Para modelos de árboles como GradientBoostingClassifier, TreeExplainer calcula estos valores de forma exacta y eficiente (sin necesidad de aproximación por muestreo).</w:t>
      </w:r>
    </w:p>
    <w:p>
      <w:r>
        <w:br w:type="page"/>
      </w:r>
    </w:p>
    <w:p>
      <w:pPr>
        <w:pStyle w:val="Heading1"/>
        <w:pBdr>
          <w:bottom w:val="single" w:sz="6" w:space="4" w:color="9B1C1C"/>
        </w:pBdr>
      </w:pPr>
      <w:r>
        <w:t>6. Modelo Secundario: Detección de Anomalías</w:t>
      </w:r>
    </w:p>
    <w:p>
      <w:pPr>
        <w:spacing w:after="160"/>
        <w:jc w:val="both"/>
      </w:pPr>
      <w:r>
        <w:rPr>
          <w:b w:val="0"/>
          <w:i w:val="0"/>
          <w:sz w:val="22"/>
        </w:rPr>
        <w:t>Un segundo modelo, independiente del de scoring, identifica currículums con una densidad de habilidades anormalmente alta respecto al texto (posible keyword-stuffing) usando IsolationForest, entrenado sobre la misma distribución sintética (src/anomaly.py).</w:t>
      </w:r>
    </w:p>
    <w:p>
      <w:pPr>
        <w:spacing w:after="160"/>
        <w:jc w:val="both"/>
      </w:pPr>
      <w:r>
        <w:rPr>
          <w:b/>
        </w:rPr>
        <w:t xml:space="preserve">Decisión de diseño: </w:t>
      </w:r>
      <w:r>
        <w:t>la única feature de entrada es densidad_skills (n.º de habilidades detectadas ÷ n.º de palabras del CV), no el conteo absoluto de habilidades ni la longitud del texto por separado. Una versión inicial que sí usaba esas variables absolutas marcaba como «atípico» a casi cualquier CV real, porque los CV reales son más largos que los sintéticos usados para entrenar — la densidad (una razón, no una cantidad absoluta) es invariante a la longitud del texto y resolvió ese problema.</w:t>
      </w:r>
    </w:p>
    <w:p>
      <w:r>
        <w:br w:type="page"/>
      </w:r>
    </w:p>
    <w:p>
      <w:pPr>
        <w:pStyle w:val="Heading1"/>
        <w:pBdr>
          <w:bottom w:val="single" w:sz="6" w:space="4" w:color="9B1C1C"/>
        </w:pBdr>
      </w:pPr>
      <w:r>
        <w:t>7. Limitaciones y Trabajo Futuro</w:t>
      </w:r>
    </w:p>
    <w:p>
      <w:pPr>
        <w:pStyle w:val="ListBullet"/>
        <w:spacing w:after="80"/>
      </w:pPr>
      <w:r>
        <w:t>El dataset es sintético; aunque la metodología de generación es transparente y razonada, no reemplaza la señal de decisiones de contratación reales.</w:t>
      </w:r>
    </w:p>
    <w:p>
      <w:pPr>
        <w:pStyle w:val="ListBullet"/>
        <w:spacing w:after="80"/>
      </w:pPr>
      <w:r>
        <w:t>La fórmula de etiquetado ground-truth es una heurística de los propios desarrolladores, no un estándar validado por profesionales de RRHH.</w:t>
      </w:r>
    </w:p>
    <w:p>
      <w:pPr>
        <w:pStyle w:val="ListBullet"/>
        <w:spacing w:after="80"/>
      </w:pPr>
      <w:r>
        <w:t>El modelo no se reentrena automáticamente: un cambio en la taxonomía de habilidades requiere regenerar el dataset y reentrenar manualmente (python src/synthetic_data.py &amp;&amp; python src/train_model.py).</w:t>
      </w:r>
    </w:p>
    <w:p>
      <w:pPr>
        <w:pStyle w:val="ListBullet"/>
        <w:spacing w:after="80"/>
      </w:pPr>
      <w:r>
        <w:t>La similitud semántica depende de un modelo de embeddings general (no afinado para el dominio de reclutamiento), lo que limita su precisión en jerga muy específica de un sector.</w:t>
      </w:r>
    </w:p>
    <w:p>
      <w:pPr>
        <w:pStyle w:val="Heading2"/>
      </w:pPr>
      <w:r>
        <w:t>Referencias</w:t>
      </w:r>
    </w:p>
    <w:p>
      <w:pPr>
        <w:spacing w:after="120"/>
        <w:ind w:left="340" w:hanging="340"/>
      </w:pPr>
      <w:r>
        <w:rPr>
          <w:sz w:val="20"/>
        </w:rPr>
        <w:t>[1] Friedman, J. H. (2001). Greedy Function Approximation: A Gradient Boosting Machine. Annals of Statistics.</w:t>
      </w:r>
    </w:p>
    <w:p>
      <w:pPr>
        <w:spacing w:after="120"/>
        <w:ind w:left="340" w:hanging="340"/>
      </w:pPr>
      <w:r>
        <w:rPr>
          <w:sz w:val="20"/>
        </w:rPr>
        <w:t>[2] Lundberg, S. M., &amp; Lee, S.-I. (2017). A Unified Approach to Interpreting Model Predictions. NeurIPS.</w:t>
      </w:r>
    </w:p>
    <w:p>
      <w:pPr>
        <w:spacing w:after="120"/>
        <w:ind w:left="340" w:hanging="340"/>
      </w:pPr>
      <w:r>
        <w:rPr>
          <w:sz w:val="20"/>
        </w:rPr>
        <w:t>[3] Liu, F. T., Ting, K. M., &amp; Zhou, Z.-H. (2008). Isolation Forest. IEEE ICDM.</w:t>
      </w:r>
    </w:p>
    <w:p>
      <w:pPr>
        <w:spacing w:after="120"/>
        <w:ind w:left="340" w:hanging="340"/>
      </w:pPr>
      <w:r>
        <w:rPr>
          <w:sz w:val="20"/>
        </w:rPr>
        <w:t>[4] Reimers, N., &amp; Gurevych, I. (2019). Sentence-BERT: Sentence Embeddings using Siamese BERT-Networks. EMNLP-IJCNLP.</w:t>
      </w:r>
    </w:p>
    <w:p>
      <w:pPr>
        <w:spacing w:after="120"/>
        <w:ind w:left="340" w:hanging="340"/>
      </w:pPr>
      <w:r>
        <w:rPr>
          <w:sz w:val="20"/>
        </w:rPr>
        <w:t>[5] Pedregosa, F., et al. (2011). Scikit-learn: Machine Learning in Python. JMLR, 12, 2825–2830.</w:t>
      </w:r>
    </w:p>
    <w:sectPr w:rsidR="00FC693F" w:rsidRPr="0006063C" w:rsidSect="00034616">
      <w:headerReference w:type="default" r:id="rId9"/>
      <w:footerReference w:type="default" r:id="rId10"/>
      <w:headerReference w:type="first" r:id="rId11"/>
      <w:footerReference w:type="first" r:id="rId12"/>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Página </w:t>
    </w:r>
    <w:r>
      <w:fldChar w:fldCharType="begin"/>
    </w:r>
    <w:r>
      <w:instrText xml:space="preserve">PAGE</w:instrText>
    </w:r>
    <w:r>
      <w:fldChar w:fldCharType="separate"/>
    </w:r>
    <w:r>
      <w:t>1</w:t>
    </w:r>
    <w:r>
      <w:fldChar w:fldCharType="end"/>
    </w:r>
    <w:r>
      <w:rPr>
        <w:color w:val="666666"/>
        <w:sz w:val="18"/>
      </w:rPr>
      <w:t xml:space="preserve"> de </w:t>
    </w:r>
    <w:r>
      <w:fldChar w:fldCharType="begin"/>
    </w:r>
    <w:r>
      <w:instrText xml:space="preserve">NUMPAGES</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7"/>
      </w:rPr>
      <w:t>Modelo de IA, Entrenamiento y Dataset Sintético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9B1C1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