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sz w:val="80"/>
        </w:rPr>
        <w:t>🎯</w:t>
      </w:r>
    </w:p>
    <w:p>
      <w:pPr>
        <w:spacing w:before="200" w:after="120"/>
        <w:jc w:val="center"/>
      </w:pPr>
      <w:r>
        <w:rPr>
          <w:b/>
          <w:color w:val="9B1C1C"/>
          <w:sz w:val="48"/>
        </w:rPr>
        <w:t>Sistema Inteligente de Cribado y Auditoría de Talento</w:t>
      </w:r>
    </w:p>
    <w:p>
      <w:pPr>
        <w:spacing w:after="600"/>
        <w:jc w:val="center"/>
      </w:pPr>
      <w:r>
        <w:rPr>
          <w:i w:val="0"/>
          <w:color w:val="333333"/>
          <w:sz w:val="28"/>
        </w:rPr>
        <w:t>Resumen del proyecto, arquitectura y funcionamiento</w:t>
      </w:r>
    </w:p>
    <w:p>
      <w:pPr>
        <w:spacing w:after="40"/>
        <w:jc w:val="center"/>
      </w:pPr>
      <w:r>
        <w:rPr>
          <w:i w:val="0"/>
          <w:color w:val="666666"/>
          <w:sz w:val="22"/>
        </w:rPr>
        <w:t>Proyecto Final — Fundamentos de Inteligencia Artificial (AIE)</w:t>
      </w:r>
    </w:p>
    <w:p>
      <w:pPr>
        <w:spacing w:after="40"/>
        <w:jc w:val="center"/>
      </w:pPr>
      <w:r>
        <w:rPr>
          <w:i w:val="0"/>
          <w:color w:val="666666"/>
          <w:sz w:val="22"/>
        </w:rPr>
        <w:t>Summer Camp 2026 — CyberMinds, Escuela Politécnica Nacional</w:t>
      </w:r>
    </w:p>
    <w:p>
      <w:pPr>
        <w:spacing w:after="800"/>
        <w:jc w:val="center"/>
      </w:pPr>
      <w:r>
        <w:rPr>
          <w:i/>
          <w:color w:val="666666"/>
          <w:sz w:val="22"/>
        </w:rPr>
        <w:t>100% local · sin API de LLM externa · sin costes</w:t>
      </w:r>
    </w:p>
    <w:p>
      <w:r>
        <w:br w:type="page"/>
      </w:r>
    </w:p>
    <w:p>
      <w:pPr>
        <w:spacing w:before="400" w:after="200"/>
        <w:pBdr>
          <w:bottom w:val="single" w:sz="6" w:space="4" w:color="9B1C1C"/>
        </w:pBdr>
      </w:pPr>
      <w:r>
        <w:rPr>
          <w:b/>
          <w:color w:val="9B1C1C"/>
          <w:sz w:val="34"/>
        </w:rPr>
        <w:t>1. Resumen ejecutivo</w:t>
      </w:r>
    </w:p>
    <w:p>
      <w:pPr>
        <w:spacing w:after="160"/>
      </w:pPr>
      <w:r>
        <w:rPr>
          <w:i w:val="0"/>
          <w:sz w:val="22"/>
        </w:rPr>
        <w:t>Un reclutador que recibe cientos de CVs para una vacante no tiene tiempo de leerlos todos a fondo, por lo que buenos candidatos se descartan por error o al azar. Este proyecto no es un simple “prompt a un LLM que puntúa un CV” — es un pipeline de Machine Learning con un modelo entrenado como núcleo, que además explica cada decisión, detecta fraude entre candidatos, audita sus propios resultados en busca de sesgos, y convierte un rechazo en una recomendación de mejora.</w:t>
      </w:r>
    </w:p>
    <w:p>
      <w:pPr>
        <w:pStyle w:val="ListBullet"/>
        <w:spacing w:after="80"/>
      </w:pPr>
      <w:r>
        <w:t>Score de ajuste entrenado y evaluado con métricas reales (no una heurística disfrazada de IA).</w:t>
      </w:r>
    </w:p>
    <w:p>
      <w:pPr>
        <w:pStyle w:val="ListBullet"/>
        <w:spacing w:after="80"/>
      </w:pPr>
      <w:r>
        <w:t>Explicabilidad por SHAP: cada score viene acompañado del “por qué”.</w:t>
      </w:r>
    </w:p>
    <w:p>
      <w:pPr>
        <w:pStyle w:val="ListBullet"/>
        <w:spacing w:after="80"/>
      </w:pPr>
      <w:r>
        <w:t>Auditoría de sesgos automática (regla del 80%) sobre proxies estructurales legítimos.</w:t>
      </w:r>
    </w:p>
    <w:p>
      <w:pPr>
        <w:pStyle w:val="ListBullet"/>
        <w:spacing w:after="80"/>
      </w:pPr>
      <w:r>
        <w:t>Detección de CVs duplicados o plagiados entre candidatos de un mismo lote.</w:t>
      </w:r>
    </w:p>
    <w:p>
      <w:pPr>
        <w:pStyle w:val="ListBullet"/>
        <w:spacing w:after="80"/>
      </w:pPr>
      <w:r>
        <w:t>Recomendaciones de upskilling para candidatos “casi aptos”.</w:t>
      </w:r>
    </w:p>
    <w:p>
      <w:pPr>
        <w:pStyle w:val="ListBullet"/>
        <w:spacing w:after="80"/>
      </w:pPr>
      <w:r>
        <w:t>Corre 100% en local: sin API de pago, sin depender de conexión a internet en el día de la defensa.</w:t>
      </w:r>
    </w:p>
    <w:p>
      <w:pPr>
        <w:spacing w:before="400" w:after="200"/>
        <w:pBdr>
          <w:bottom w:val="single" w:sz="6" w:space="4" w:color="9B1C1C"/>
        </w:pBdr>
      </w:pPr>
      <w:r>
        <w:rPr>
          <w:b/>
          <w:color w:val="9B1C1C"/>
          <w:sz w:val="34"/>
        </w:rPr>
        <w:t>2. El problema y por qué importa</w:t>
      </w:r>
    </w:p>
    <w:p>
      <w:pPr>
        <w:spacing w:after="160"/>
      </w:pPr>
      <w:r>
        <w:rPr>
          <w:i w:val="0"/>
          <w:sz w:val="22"/>
        </w:rPr>
        <w:t>En procesos de selección de alto volumen, dos fallas se repiten: (1) se descartan candidatos calificados por fatiga del reclutador o simple azar en el orden de lectura, y (2) las decisiones son difíciles de justificar objetivamente ante el candidato o ante Recursos Humanos. Un filtro de palabras clave tradicional tampoco resuelve esto: no distingue paráfrasis (“backend en Python” vs. “desarrollo de APIs con Django”), no pondera la importancia relativa de cada requisito y no aprende de patrones sutiles.</w:t>
      </w:r>
    </w:p>
    <w:p>
      <w:pPr>
        <w:spacing w:after="160"/>
      </w:pPr>
      <w:r>
        <w:rPr>
          <w:i w:val="0"/>
          <w:sz w:val="22"/>
        </w:rPr>
        <w:t>La idea original del equipo — enviar el CV a un LLM y pedir un puntaje — es justamente el ejemplo de referencia (“AI Resume Critiquer”) que cita la propia guía del curso como caso de tutorial. Por eso el proyecto se profundizó: el núcleo de la solución pasó a ser un modelo de Machine Learning entrenado y evaluado, no un envoltorio de prompt.</w:t>
      </w:r>
    </w:p>
    <w:p>
      <w:pPr>
        <w:spacing w:before="400" w:after="200"/>
        <w:pBdr>
          <w:bottom w:val="single" w:sz="6" w:space="4" w:color="9B1C1C"/>
        </w:pBdr>
      </w:pPr>
      <w:r>
        <w:rPr>
          <w:b/>
          <w:color w:val="9B1C1C"/>
          <w:sz w:val="34"/>
        </w:rPr>
        <w:t>3. Arquitectura del sistema</w:t>
      </w:r>
    </w:p>
    <w:p>
      <w:pPr>
        <w:spacing w:after="160"/>
      </w:pPr>
      <w:r>
        <w:rPr>
          <w:i w:val="0"/>
          <w:sz w:val="22"/>
        </w:rPr>
        <w:t>El flujo de datos completo, desde que se sube un CV hasta que aparece en el dashboard, sigue estas etapas:</w:t>
      </w:r>
    </w:p>
    <w:tbl>
      <w:tblPr>
        <w:tblW w:type="auto" w:w="0"/>
        <w:tblLayout w:type="autofit"/>
        <w:tblLook w:firstColumn="1" w:firstRow="1" w:lastColumn="0" w:lastRow="0" w:noHBand="0" w:noVBand="1" w:val="04A0"/>
      </w:tblPr>
      <w:tblGrid>
        <w:gridCol w:w="9354"/>
      </w:tblGrid>
      <w:tr>
        <w:tc>
          <w:tcPr>
            <w:tcW w:type="dxa" w:w="9746"/>
            <w:shd w:val="clear" w:color="auto" w:fill="F2F2F2"/>
            <w:tcBorders>
              <w:top w:val="single" w:sz="6" w:space="0" w:color="9B1C1C"/>
              <w:left w:val="single" w:sz="6" w:space="0" w:color="9B1C1C"/>
              <w:bottom w:val="single" w:sz="6" w:space="0" w:color="9B1C1C"/>
              <w:right w:val="single" w:sz="6" w:space="0" w:color="9B1C1C"/>
            </w:tcBorders>
            <w:vAlign w:val="center"/>
          </w:tcPr>
          <w:p>
            <w:pPr>
              <w:spacing w:after="40"/>
            </w:pPr>
            <w:r>
              <w:rPr>
                <w:b/>
                <w:color w:val="9B1C1C"/>
                <w:sz w:val="23"/>
              </w:rPr>
              <w:t>Entradas</w:t>
            </w:r>
          </w:p>
          <w:p>
            <w:r>
              <w:rPr>
                <w:color w:val="333333"/>
                <w:sz w:val="21"/>
              </w:rPr>
              <w:t>CV del candidato (PDF, DOCX o TXT) + descripción de la vacante (texto).</w:t>
            </w:r>
          </w:p>
        </w:tc>
      </w:tr>
    </w:tbl>
    <w:p>
      <w:pPr>
        <w:spacing w:before="40" w:after="40"/>
        <w:jc w:val="center"/>
      </w:pPr>
      <w:r>
        <w:rPr>
          <w:b/>
          <w:color w:val="666666"/>
          <w:sz w:val="32"/>
        </w:rPr>
        <w:t>↓</w:t>
      </w:r>
    </w:p>
    <w:tbl>
      <w:tblPr>
        <w:tblW w:type="auto" w:w="0"/>
        <w:tblLayout w:type="autofit"/>
        <w:tblLook w:firstColumn="1" w:firstRow="1" w:lastColumn="0" w:lastRow="0" w:noHBand="0" w:noVBand="1" w:val="04A0"/>
      </w:tblPr>
      <w:tblGrid>
        <w:gridCol w:w="9354"/>
      </w:tblGrid>
      <w:tr>
        <w:tc>
          <w:tcPr>
            <w:tcW w:type="dxa" w:w="9746"/>
            <w:shd w:val="clear" w:color="auto" w:fill="F2F2F2"/>
            <w:tcBorders>
              <w:top w:val="single" w:sz="6" w:space="0" w:color="9B1C1C"/>
              <w:left w:val="single" w:sz="6" w:space="0" w:color="9B1C1C"/>
              <w:bottom w:val="single" w:sz="6" w:space="0" w:color="9B1C1C"/>
              <w:right w:val="single" w:sz="6" w:space="0" w:color="9B1C1C"/>
            </w:tcBorders>
            <w:vAlign w:val="center"/>
          </w:tcPr>
          <w:p>
            <w:pPr>
              <w:spacing w:after="40"/>
            </w:pPr>
            <w:r>
              <w:rPr>
                <w:b/>
                <w:color w:val="9B1C1C"/>
                <w:sz w:val="23"/>
              </w:rPr>
              <w:t>Extracción de texto y habilidades</w:t>
            </w:r>
          </w:p>
          <w:p>
            <w:r>
              <w:rPr>
                <w:color w:val="333333"/>
                <w:sz w:val="21"/>
              </w:rPr>
              <w:t>parsing.py extrae el texto crudo; taxonomy.py detecta habilidades mediante una taxonomía propia con coincidencia exacta y fuzzy matching (rapidfuzz) — sin usar ningún LLM externo.</w:t>
            </w:r>
          </w:p>
        </w:tc>
      </w:tr>
    </w:tbl>
    <w:p>
      <w:pPr>
        <w:spacing w:before="40" w:after="40"/>
        <w:jc w:val="center"/>
      </w:pPr>
      <w:r>
        <w:rPr>
          <w:b/>
          <w:color w:val="666666"/>
          <w:sz w:val="32"/>
        </w:rPr>
        <w:t>↓</w:t>
      </w:r>
    </w:p>
    <w:tbl>
      <w:tblPr>
        <w:tblW w:type="auto" w:w="0"/>
        <w:tblLayout w:type="autofit"/>
        <w:tblLook w:firstColumn="1" w:firstRow="1" w:lastColumn="0" w:lastRow="0" w:noHBand="0" w:noVBand="1" w:val="04A0"/>
      </w:tblPr>
      <w:tblGrid>
        <w:gridCol w:w="9354"/>
      </w:tblGrid>
      <w:tr>
        <w:tc>
          <w:tcPr>
            <w:tcW w:type="dxa" w:w="9746"/>
            <w:shd w:val="clear" w:color="auto" w:fill="F2F2F2"/>
            <w:tcBorders>
              <w:top w:val="single" w:sz="6" w:space="0" w:color="9B1C1C"/>
              <w:left w:val="single" w:sz="6" w:space="0" w:color="9B1C1C"/>
              <w:bottom w:val="single" w:sz="6" w:space="0" w:color="9B1C1C"/>
              <w:right w:val="single" w:sz="6" w:space="0" w:color="9B1C1C"/>
            </w:tcBorders>
            <w:vAlign w:val="center"/>
          </w:tcPr>
          <w:p>
            <w:pPr>
              <w:spacing w:after="40"/>
            </w:pPr>
            <w:r>
              <w:rPr>
                <w:b/>
                <w:color w:val="9B1C1C"/>
                <w:sz w:val="23"/>
              </w:rPr>
              <w:t>Ingeniería de features</w:t>
            </w:r>
          </w:p>
          <w:p>
            <w:r>
              <w:rPr>
                <w:color w:val="333333"/>
                <w:sz w:val="21"/>
              </w:rPr>
              <w:t>features.py calcula: cobertura de habilidades obligatorias/deseables, años de experiencia vs. requerido, nivel educativo vs. requerido, y similitud semántica CV↔vacante mediante embeddings locales (sentence-transformers).</w:t>
            </w:r>
          </w:p>
        </w:tc>
      </w:tr>
    </w:tbl>
    <w:p>
      <w:pPr>
        <w:spacing w:before="40" w:after="40"/>
        <w:jc w:val="center"/>
      </w:pPr>
      <w:r>
        <w:rPr>
          <w:b/>
          <w:color w:val="666666"/>
          <w:sz w:val="32"/>
        </w:rPr>
        <w:t>↓</w:t>
      </w:r>
    </w:p>
    <w:tbl>
      <w:tblPr>
        <w:tblW w:type="auto" w:w="0"/>
        <w:tblLayout w:type="autofit"/>
        <w:tblLook w:firstColumn="1" w:firstRow="1" w:lastColumn="0" w:lastRow="0" w:noHBand="0" w:noVBand="1" w:val="04A0"/>
      </w:tblPr>
      <w:tblGrid>
        <w:gridCol w:w="9354"/>
      </w:tblGrid>
      <w:tr>
        <w:tc>
          <w:tcPr>
            <w:tcW w:type="dxa" w:w="9746"/>
            <w:shd w:val="clear" w:color="auto" w:fill="F2F2F2"/>
            <w:tcBorders>
              <w:top w:val="single" w:sz="6" w:space="0" w:color="9B1C1C"/>
              <w:left w:val="single" w:sz="6" w:space="0" w:color="9B1C1C"/>
              <w:bottom w:val="single" w:sz="6" w:space="0" w:color="9B1C1C"/>
              <w:right w:val="single" w:sz="6" w:space="0" w:color="9B1C1C"/>
            </w:tcBorders>
            <w:vAlign w:val="center"/>
          </w:tcPr>
          <w:p>
            <w:pPr>
              <w:spacing w:after="40"/>
            </w:pPr>
            <w:r>
              <w:rPr>
                <w:b/>
                <w:color w:val="9B1C1C"/>
                <w:sz w:val="23"/>
              </w:rPr>
              <w:t>Modelo de IA (núcleo del sistema)</w:t>
            </w:r>
          </w:p>
          <w:p>
            <w:r>
              <w:rPr>
                <w:color w:val="333333"/>
                <w:sz w:val="21"/>
              </w:rPr>
              <w:t>Un GradientBoostingClassifier de scikit-learn, entrenado con datos sintéticos, combina las features anteriores en un score de ajuste probabilístico (0–100%). No es una regla if/else: es un modelo entrenado y evaluado con métricas reales.</w:t>
            </w:r>
          </w:p>
        </w:tc>
      </w:tr>
    </w:tbl>
    <w:p>
      <w:pPr>
        <w:spacing w:before="40" w:after="40"/>
        <w:jc w:val="center"/>
      </w:pPr>
      <w:r>
        <w:rPr>
          <w:b/>
          <w:color w:val="666666"/>
          <w:sz w:val="32"/>
        </w:rPr>
        <w:t>↓</w:t>
      </w:r>
    </w:p>
    <w:tbl>
      <w:tblPr>
        <w:tblW w:type="auto" w:w="0"/>
        <w:tblLayout w:type="autofit"/>
        <w:tblLook w:firstColumn="1" w:firstRow="1" w:lastColumn="0" w:lastRow="0" w:noHBand="0" w:noVBand="1" w:val="04A0"/>
      </w:tblPr>
      <w:tblGrid>
        <w:gridCol w:w="9354"/>
      </w:tblGrid>
      <w:tr>
        <w:tc>
          <w:tcPr>
            <w:tcW w:type="dxa" w:w="9746"/>
            <w:shd w:val="clear" w:color="auto" w:fill="F2F2F2"/>
            <w:tcBorders>
              <w:top w:val="single" w:sz="6" w:space="0" w:color="9B1C1C"/>
              <w:left w:val="single" w:sz="6" w:space="0" w:color="9B1C1C"/>
              <w:bottom w:val="single" w:sz="6" w:space="0" w:color="9B1C1C"/>
              <w:right w:val="single" w:sz="6" w:space="0" w:color="9B1C1C"/>
            </w:tcBorders>
            <w:vAlign w:val="center"/>
          </w:tcPr>
          <w:p>
            <w:pPr>
              <w:spacing w:after="40"/>
            </w:pPr>
            <w:r>
              <w:rPr>
                <w:b/>
                <w:color w:val="9B1C1C"/>
                <w:sz w:val="23"/>
              </w:rPr>
              <w:t>Capas de análisis en paralelo</w:t>
            </w:r>
          </w:p>
          <w:p>
            <w:r>
              <w:rPr>
                <w:color w:val="333333"/>
                <w:sz w:val="21"/>
              </w:rPr>
              <w:t>IsolationForest detecta CVs atípicos (posible keyword-stuffing) · SHAP explica qué features empujaron el score · se compara cada CV contra los demás del lote para detectar duplicados/plagio · se audita el resultado en busca de sesgos estructurales (regla del 80%).</w:t>
            </w:r>
          </w:p>
        </w:tc>
      </w:tr>
    </w:tbl>
    <w:p>
      <w:pPr>
        <w:spacing w:before="40" w:after="40"/>
        <w:jc w:val="center"/>
      </w:pPr>
      <w:r>
        <w:rPr>
          <w:b/>
          <w:color w:val="666666"/>
          <w:sz w:val="32"/>
        </w:rPr>
        <w:t>↓</w:t>
      </w:r>
    </w:p>
    <w:tbl>
      <w:tblPr>
        <w:tblW w:type="auto" w:w="0"/>
        <w:tblLayout w:type="autofit"/>
        <w:tblLook w:firstColumn="1" w:firstRow="1" w:lastColumn="0" w:lastRow="0" w:noHBand="0" w:noVBand="1" w:val="04A0"/>
      </w:tblPr>
      <w:tblGrid>
        <w:gridCol w:w="9354"/>
      </w:tblGrid>
      <w:tr>
        <w:tc>
          <w:tcPr>
            <w:tcW w:type="dxa" w:w="9746"/>
            <w:shd w:val="clear" w:color="auto" w:fill="F2F2F2"/>
            <w:tcBorders>
              <w:top w:val="single" w:sz="6" w:space="0" w:color="9B1C1C"/>
              <w:left w:val="single" w:sz="6" w:space="0" w:color="9B1C1C"/>
              <w:bottom w:val="single" w:sz="6" w:space="0" w:color="9B1C1C"/>
              <w:right w:val="single" w:sz="6" w:space="0" w:color="9B1C1C"/>
            </w:tcBorders>
            <w:vAlign w:val="center"/>
          </w:tcPr>
          <w:p>
            <w:pPr>
              <w:spacing w:after="40"/>
            </w:pPr>
            <w:r>
              <w:rPr>
                <w:b/>
                <w:color w:val="9B1C1C"/>
                <w:sz w:val="23"/>
              </w:rPr>
              <w:t>Generación de salida</w:t>
            </w:r>
          </w:p>
          <w:p>
            <w:r>
              <w:rPr>
                <w:color w:val="333333"/>
                <w:sz w:val="21"/>
              </w:rPr>
              <w:t>justify.py redacta una justificación extractiva en texto (sin LLM); upskilling.py recomienda recursos de mejora a los candidatos “casi aptos”.</w:t>
            </w:r>
          </w:p>
        </w:tc>
      </w:tr>
    </w:tbl>
    <w:p>
      <w:pPr>
        <w:spacing w:before="40" w:after="40"/>
        <w:jc w:val="center"/>
      </w:pPr>
      <w:r>
        <w:rPr>
          <w:b/>
          <w:color w:val="666666"/>
          <w:sz w:val="32"/>
        </w:rPr>
        <w:t>↓</w:t>
      </w:r>
    </w:p>
    <w:tbl>
      <w:tblPr>
        <w:tblW w:type="auto" w:w="0"/>
        <w:tblLayout w:type="autofit"/>
        <w:tblLook w:firstColumn="1" w:firstRow="1" w:lastColumn="0" w:lastRow="0" w:noHBand="0" w:noVBand="1" w:val="04A0"/>
      </w:tblPr>
      <w:tblGrid>
        <w:gridCol w:w="9354"/>
      </w:tblGrid>
      <w:tr>
        <w:tc>
          <w:tcPr>
            <w:tcW w:type="dxa" w:w="9746"/>
            <w:shd w:val="clear" w:color="auto" w:fill="F2F2F2"/>
            <w:tcBorders>
              <w:top w:val="single" w:sz="6" w:space="0" w:color="9B1C1C"/>
              <w:left w:val="single" w:sz="6" w:space="0" w:color="9B1C1C"/>
              <w:bottom w:val="single" w:sz="6" w:space="0" w:color="9B1C1C"/>
              <w:right w:val="single" w:sz="6" w:space="0" w:color="9B1C1C"/>
            </w:tcBorders>
            <w:vAlign w:val="center"/>
          </w:tcPr>
          <w:p>
            <w:pPr>
              <w:spacing w:after="40"/>
            </w:pPr>
            <w:r>
              <w:rPr>
                <w:b/>
                <w:color w:val="9B1C1C"/>
                <w:sz w:val="23"/>
              </w:rPr>
              <w:t>Dashboard (Streamlit)</w:t>
            </w:r>
          </w:p>
          <w:p>
            <w:r>
              <w:rPr>
                <w:color w:val="333333"/>
                <w:sz w:val="21"/>
              </w:rPr>
              <w:t>app.py presenta el ranking de candidatos, el detalle explicado de cada uno, el panel de auditoría de sesgos y las alertas de duplicados.</w:t>
            </w:r>
          </w:p>
        </w:tc>
      </w:tr>
    </w:tbl>
    <w:p>
      <w:pPr>
        <w:spacing w:after="80"/>
      </w:pPr>
      <w:r>
        <w:rPr>
          <w:i w:val="0"/>
          <w:sz w:val="22"/>
        </w:rPr>
      </w:r>
    </w:p>
    <w:p>
      <w:pPr>
        <w:spacing w:before="280" w:after="120"/>
      </w:pPr>
      <w:r>
        <w:rPr>
          <w:b/>
          <w:color w:val="333333"/>
          <w:sz w:val="27"/>
        </w:rPr>
        <w:t>Responsabilidad de cada módulo</w:t>
      </w:r>
    </w:p>
    <w:tbl>
      <w:tblPr>
        <w:tblStyle w:val="TableGrid"/>
        <w:tblW w:type="auto" w:w="0"/>
        <w:tblLook w:firstColumn="1" w:firstRow="1" w:lastColumn="0" w:lastRow="0" w:noHBand="0" w:noVBand="1" w:val="04A0"/>
      </w:tblPr>
      <w:tblGrid>
        <w:gridCol w:w="4873"/>
        <w:gridCol w:w="4873"/>
      </w:tblGrid>
      <w:tr>
        <w:tc>
          <w:tcPr>
            <w:tcW w:type="dxa" w:w="2551"/>
            <w:shd w:val="clear" w:color="auto" w:fill="9B1C1C"/>
            <w:vAlign w:val="center"/>
          </w:tcPr>
          <w:p>
            <w:r>
              <w:rPr>
                <w:b/>
                <w:color w:val="FFFFFF"/>
                <w:sz w:val="21"/>
              </w:rPr>
              <w:t>Módulo</w:t>
            </w:r>
          </w:p>
        </w:tc>
        <w:tc>
          <w:tcPr>
            <w:tcW w:type="dxa" w:w="6236"/>
            <w:shd w:val="clear" w:color="auto" w:fill="9B1C1C"/>
            <w:vAlign w:val="center"/>
          </w:tcPr>
          <w:p>
            <w:r>
              <w:rPr>
                <w:b/>
                <w:color w:val="FFFFFF"/>
                <w:sz w:val="21"/>
              </w:rPr>
              <w:t>Responsabilidad</w:t>
            </w:r>
          </w:p>
        </w:tc>
      </w:tr>
      <w:tr>
        <w:tc>
          <w:tcPr>
            <w:tcW w:type="dxa" w:w="2551"/>
            <w:vAlign w:val="center"/>
          </w:tcPr>
          <w:p>
            <w:r>
              <w:rPr>
                <w:sz w:val="21"/>
              </w:rPr>
              <w:t>parsing.py</w:t>
            </w:r>
          </w:p>
        </w:tc>
        <w:tc>
          <w:tcPr>
            <w:tcW w:type="dxa" w:w="6236"/>
            <w:vAlign w:val="center"/>
          </w:tcPr>
          <w:p>
            <w:r>
              <w:rPr>
                <w:sz w:val="21"/>
              </w:rPr>
              <w:t>Extrae texto crudo de PDF/DOCX/TXT</w:t>
            </w:r>
          </w:p>
        </w:tc>
      </w:tr>
      <w:tr>
        <w:tc>
          <w:tcPr>
            <w:tcW w:type="dxa" w:w="2551"/>
            <w:shd w:val="clear" w:color="auto" w:fill="F2F2F2"/>
            <w:vAlign w:val="center"/>
          </w:tcPr>
          <w:p>
            <w:r>
              <w:rPr>
                <w:sz w:val="21"/>
              </w:rPr>
              <w:t>taxonomy.py</w:t>
            </w:r>
          </w:p>
        </w:tc>
        <w:tc>
          <w:tcPr>
            <w:tcW w:type="dxa" w:w="6236"/>
            <w:shd w:val="clear" w:color="auto" w:fill="F2F2F2"/>
            <w:vAlign w:val="center"/>
          </w:tcPr>
          <w:p>
            <w:r>
              <w:rPr>
                <w:sz w:val="21"/>
              </w:rPr>
              <w:t>Detección de habilidades: taxonomía propia + fuzzy matching, sin API</w:t>
            </w:r>
          </w:p>
        </w:tc>
      </w:tr>
      <w:tr>
        <w:tc>
          <w:tcPr>
            <w:tcW w:type="dxa" w:w="2551"/>
            <w:vAlign w:val="center"/>
          </w:tcPr>
          <w:p>
            <w:r>
              <w:rPr>
                <w:sz w:val="21"/>
              </w:rPr>
              <w:t>features.py</w:t>
            </w:r>
          </w:p>
        </w:tc>
        <w:tc>
          <w:tcPr>
            <w:tcW w:type="dxa" w:w="6236"/>
            <w:vAlign w:val="center"/>
          </w:tcPr>
          <w:p>
            <w:r>
              <w:rPr>
                <w:sz w:val="21"/>
              </w:rPr>
              <w:t>Cobertura de skills, experiencia, educación, similitud semántica (embeddings)</w:t>
            </w:r>
          </w:p>
        </w:tc>
      </w:tr>
      <w:tr>
        <w:tc>
          <w:tcPr>
            <w:tcW w:type="dxa" w:w="2551"/>
            <w:shd w:val="clear" w:color="auto" w:fill="F2F2F2"/>
            <w:vAlign w:val="center"/>
          </w:tcPr>
          <w:p>
            <w:r>
              <w:rPr>
                <w:sz w:val="21"/>
              </w:rPr>
              <w:t>synthetic_data.py</w:t>
            </w:r>
          </w:p>
        </w:tc>
        <w:tc>
          <w:tcPr>
            <w:tcW w:type="dxa" w:w="6236"/>
            <w:shd w:val="clear" w:color="auto" w:fill="F2F2F2"/>
            <w:vAlign w:val="center"/>
          </w:tcPr>
          <w:p>
            <w:r>
              <w:rPr>
                <w:sz w:val="21"/>
              </w:rPr>
              <w:t>Genera el dataset sintético de entrenamiento con etiqueta ground-truth transparente</w:t>
            </w:r>
          </w:p>
        </w:tc>
      </w:tr>
      <w:tr>
        <w:tc>
          <w:tcPr>
            <w:tcW w:type="dxa" w:w="2551"/>
            <w:vAlign w:val="center"/>
          </w:tcPr>
          <w:p>
            <w:r>
              <w:rPr>
                <w:sz w:val="21"/>
              </w:rPr>
              <w:t>train_model.py</w:t>
            </w:r>
          </w:p>
        </w:tc>
        <w:tc>
          <w:tcPr>
            <w:tcW w:type="dxa" w:w="6236"/>
            <w:vAlign w:val="center"/>
          </w:tcPr>
          <w:p>
            <w:r>
              <w:rPr>
                <w:sz w:val="21"/>
              </w:rPr>
              <w:t>Entrena y evalúa el modelo de fit-score (núcleo de IA)</w:t>
            </w:r>
          </w:p>
        </w:tc>
      </w:tr>
      <w:tr>
        <w:tc>
          <w:tcPr>
            <w:tcW w:type="dxa" w:w="2551"/>
            <w:shd w:val="clear" w:color="auto" w:fill="F2F2F2"/>
            <w:vAlign w:val="center"/>
          </w:tcPr>
          <w:p>
            <w:r>
              <w:rPr>
                <w:sz w:val="21"/>
              </w:rPr>
              <w:t>anomaly.py</w:t>
            </w:r>
          </w:p>
        </w:tc>
        <w:tc>
          <w:tcPr>
            <w:tcW w:type="dxa" w:w="6236"/>
            <w:shd w:val="clear" w:color="auto" w:fill="F2F2F2"/>
            <w:vAlign w:val="center"/>
          </w:tcPr>
          <w:p>
            <w:r>
              <w:rPr>
                <w:sz w:val="21"/>
              </w:rPr>
              <w:t>Detección de CVs atípicos (keyword-stuffing) con IsolationForest</w:t>
            </w:r>
          </w:p>
        </w:tc>
      </w:tr>
      <w:tr>
        <w:tc>
          <w:tcPr>
            <w:tcW w:type="dxa" w:w="2551"/>
            <w:vAlign w:val="center"/>
          </w:tcPr>
          <w:p>
            <w:r>
              <w:rPr>
                <w:sz w:val="21"/>
              </w:rPr>
              <w:t>explainability.py</w:t>
            </w:r>
          </w:p>
        </w:tc>
        <w:tc>
          <w:tcPr>
            <w:tcW w:type="dxa" w:w="6236"/>
            <w:vAlign w:val="center"/>
          </w:tcPr>
          <w:p>
            <w:r>
              <w:rPr>
                <w:sz w:val="21"/>
              </w:rPr>
              <w:t>Explicación SHAP de cada predicción individual</w:t>
            </w:r>
          </w:p>
        </w:tc>
      </w:tr>
      <w:tr>
        <w:tc>
          <w:tcPr>
            <w:tcW w:type="dxa" w:w="2551"/>
            <w:shd w:val="clear" w:color="auto" w:fill="F2F2F2"/>
            <w:vAlign w:val="center"/>
          </w:tcPr>
          <w:p>
            <w:r>
              <w:rPr>
                <w:sz w:val="21"/>
              </w:rPr>
              <w:t>justify.py</w:t>
            </w:r>
          </w:p>
        </w:tc>
        <w:tc>
          <w:tcPr>
            <w:tcW w:type="dxa" w:w="6236"/>
            <w:shd w:val="clear" w:color="auto" w:fill="F2F2F2"/>
            <w:vAlign w:val="center"/>
          </w:tcPr>
          <w:p>
            <w:r>
              <w:rPr>
                <w:sz w:val="21"/>
              </w:rPr>
              <w:t>Justificación en texto natural, extractiva (sin LLM)</w:t>
            </w:r>
          </w:p>
        </w:tc>
      </w:tr>
      <w:tr>
        <w:tc>
          <w:tcPr>
            <w:tcW w:type="dxa" w:w="2551"/>
            <w:vAlign w:val="center"/>
          </w:tcPr>
          <w:p>
            <w:r>
              <w:rPr>
                <w:sz w:val="21"/>
              </w:rPr>
              <w:t>upskilling.py</w:t>
            </w:r>
          </w:p>
        </w:tc>
        <w:tc>
          <w:tcPr>
            <w:tcW w:type="dxa" w:w="6236"/>
            <w:vAlign w:val="center"/>
          </w:tcPr>
          <w:p>
            <w:r>
              <w:rPr>
                <w:sz w:val="21"/>
              </w:rPr>
              <w:t>Recomendaciones de mejora para candidatos casi aptos</w:t>
            </w:r>
          </w:p>
        </w:tc>
      </w:tr>
      <w:tr>
        <w:tc>
          <w:tcPr>
            <w:tcW w:type="dxa" w:w="2551"/>
            <w:shd w:val="clear" w:color="auto" w:fill="F2F2F2"/>
            <w:vAlign w:val="center"/>
          </w:tcPr>
          <w:p>
            <w:r>
              <w:rPr>
                <w:sz w:val="21"/>
              </w:rPr>
              <w:t>duplicates.py</w:t>
            </w:r>
          </w:p>
        </w:tc>
        <w:tc>
          <w:tcPr>
            <w:tcW w:type="dxa" w:w="6236"/>
            <w:shd w:val="clear" w:color="auto" w:fill="F2F2F2"/>
            <w:vAlign w:val="center"/>
          </w:tcPr>
          <w:p>
            <w:r>
              <w:rPr>
                <w:sz w:val="21"/>
              </w:rPr>
              <w:t>Detección de CVs duplicados/plagiados dentro de un mismo lote</w:t>
            </w:r>
          </w:p>
        </w:tc>
      </w:tr>
      <w:tr>
        <w:tc>
          <w:tcPr>
            <w:tcW w:type="dxa" w:w="2551"/>
            <w:vAlign w:val="center"/>
          </w:tcPr>
          <w:p>
            <w:r>
              <w:rPr>
                <w:sz w:val="21"/>
              </w:rPr>
              <w:t>fairness.py</w:t>
            </w:r>
          </w:p>
        </w:tc>
        <w:tc>
          <w:tcPr>
            <w:tcW w:type="dxa" w:w="6236"/>
            <w:vAlign w:val="center"/>
          </w:tcPr>
          <w:p>
            <w:r>
              <w:rPr>
                <w:sz w:val="21"/>
              </w:rPr>
              <w:t>Auditoría de sesgos del resultado (no del input del modelo)</w:t>
            </w:r>
          </w:p>
        </w:tc>
      </w:tr>
      <w:tr>
        <w:tc>
          <w:tcPr>
            <w:tcW w:type="dxa" w:w="2551"/>
            <w:shd w:val="clear" w:color="auto" w:fill="F2F2F2"/>
            <w:vAlign w:val="center"/>
          </w:tcPr>
          <w:p>
            <w:r>
              <w:rPr>
                <w:sz w:val="21"/>
              </w:rPr>
              <w:t>scoring_pipeline.py</w:t>
            </w:r>
          </w:p>
        </w:tc>
        <w:tc>
          <w:tcPr>
            <w:tcW w:type="dxa" w:w="6236"/>
            <w:shd w:val="clear" w:color="auto" w:fill="F2F2F2"/>
            <w:vAlign w:val="center"/>
          </w:tcPr>
          <w:p>
            <w:r>
              <w:rPr>
                <w:sz w:val="21"/>
              </w:rPr>
              <w:t>Orquesta todo el flujo end-to-end</w:t>
            </w:r>
          </w:p>
        </w:tc>
      </w:tr>
      <w:tr>
        <w:tc>
          <w:tcPr>
            <w:tcW w:type="dxa" w:w="2551"/>
            <w:vAlign w:val="center"/>
          </w:tcPr>
          <w:p>
            <w:r>
              <w:rPr>
                <w:sz w:val="21"/>
              </w:rPr>
              <w:t>app.py</w:t>
            </w:r>
          </w:p>
        </w:tc>
        <w:tc>
          <w:tcPr>
            <w:tcW w:type="dxa" w:w="6236"/>
            <w:vAlign w:val="center"/>
          </w:tcPr>
          <w:p>
            <w:r>
              <w:rPr>
                <w:sz w:val="21"/>
              </w:rPr>
              <w:t>Interfaz Streamlit</w:t>
            </w:r>
          </w:p>
        </w:tc>
      </w:tr>
    </w:tbl>
    <w:p>
      <w:r>
        <w:br w:type="page"/>
      </w:r>
    </w:p>
    <w:p>
      <w:pPr>
        <w:spacing w:before="400" w:after="200"/>
        <w:pBdr>
          <w:bottom w:val="single" w:sz="6" w:space="4" w:color="9B1C1C"/>
        </w:pBdr>
      </w:pPr>
      <w:r>
        <w:rPr>
          <w:b/>
          <w:color w:val="9B1C1C"/>
          <w:sz w:val="34"/>
        </w:rPr>
        <w:t>4. Cómo funciona, paso a paso</w:t>
      </w:r>
    </w:p>
    <w:p>
      <w:pPr>
        <w:spacing w:after="160"/>
      </w:pPr>
      <w:r>
        <w:rPr>
          <w:b/>
        </w:rPr>
        <w:t xml:space="preserve">1. Configuración de la vacante. </w:t>
      </w:r>
      <w:r>
        <w:t>El usuario elige un puesto predefinido (con sus skills obligatorias/deseables, experiencia y educación mínima) desde una taxonomía propia, o ajusta la descripción para mejorar la comparación semántica.</w:t>
      </w:r>
    </w:p>
    <w:p>
      <w:pPr>
        <w:spacing w:after="160"/>
      </w:pPr>
      <w:r>
        <w:rPr>
          <w:b/>
        </w:rPr>
        <w:t xml:space="preserve">2. Carga de CVs. </w:t>
      </w:r>
      <w:r>
        <w:t>Se suben uno o varios archivos PDF, DOCX o TXT.</w:t>
      </w:r>
    </w:p>
    <w:p>
      <w:pPr>
        <w:spacing w:after="160"/>
      </w:pPr>
      <w:r>
        <w:rPr>
          <w:b/>
        </w:rPr>
        <w:t xml:space="preserve">3. Extracción. </w:t>
      </w:r>
      <w:r>
        <w:t>Se obtiene el texto crudo y se detectan las habilidades mencionadas, tolerando variaciones de escritura y errores tipográficos gracias al fuzzy matching.</w:t>
      </w:r>
    </w:p>
    <w:p>
      <w:pPr>
        <w:spacing w:after="160"/>
      </w:pPr>
      <w:r>
        <w:rPr>
          <w:b/>
        </w:rPr>
        <w:t xml:space="preserve">4. Cálculo de features. </w:t>
      </w:r>
      <w:r>
        <w:t>Se mide cuánto cubre el candidato de lo obligatorio y lo deseable, su experiencia y educación frente a lo requerido, y qué tan semánticamente afín es la redacción del CV con la vacante (embeddings).</w:t>
      </w:r>
    </w:p>
    <w:p>
      <w:pPr>
        <w:spacing w:after="160"/>
      </w:pPr>
      <w:r>
        <w:rPr>
          <w:b/>
        </w:rPr>
        <w:t xml:space="preserve">5. Scoring. </w:t>
      </w:r>
      <w:r>
        <w:t>El modelo entrenado combina esas señales y devuelve una probabilidad de “ajuste” (0–100%).</w:t>
      </w:r>
    </w:p>
    <w:p>
      <w:pPr>
        <w:spacing w:after="160"/>
      </w:pPr>
      <w:r>
        <w:rPr>
          <w:b/>
        </w:rPr>
        <w:t xml:space="preserve">6. Explicación y controles de calidad. </w:t>
      </w:r>
      <w:r>
        <w:t>En paralelo se generan: la explicación SHAP del score, la justificación en texto, el chequeo de anomalías (posible keyword-stuffing), la comparación contra otros CVs del lote (duplicados) y, a nivel de lote completo, la auditoría de sesgos.</w:t>
      </w:r>
    </w:p>
    <w:p>
      <w:pPr>
        <w:spacing w:after="160"/>
      </w:pPr>
      <w:r>
        <w:rPr>
          <w:b/>
        </w:rPr>
        <w:t xml:space="preserve">7. Resultado. </w:t>
      </w:r>
      <w:r>
        <w:t>El dashboard muestra el ranking de candidatos, el detalle explicado de cada uno, el panel de auditoría y las alertas de duplicados — todo consultable e interpretable, no una caja negra.</w:t>
      </w:r>
    </w:p>
    <w:p>
      <w:pPr>
        <w:spacing w:before="400" w:after="200"/>
        <w:pBdr>
          <w:bottom w:val="single" w:sz="6" w:space="4" w:color="9B1C1C"/>
        </w:pBdr>
      </w:pPr>
      <w:r>
        <w:rPr>
          <w:b/>
          <w:color w:val="9B1C1C"/>
          <w:sz w:val="34"/>
        </w:rPr>
        <w:t>5. El modelo de IA (núcleo del sistema)</w:t>
      </w:r>
    </w:p>
    <w:p>
      <w:pPr>
        <w:spacing w:after="160"/>
      </w:pPr>
      <w:r>
        <w:rPr>
          <w:i w:val="0"/>
          <w:sz w:val="22"/>
        </w:rPr>
        <w:t>El modelo es un GradientBoostingClassifier de scikit-learn, entrenado con un dataset sintético generado localmente (1,120 pares CV–vacante). La etiqueta de entrenamiento (“apto”/“no apto”) se calcula con una fórmula ponderada explícita sobre cobertura de skills, experiencia y educación, más ruido gaussiano para que la frontera no sea perfectamente separable. La similitud semántica por embeddings deliberadamente NO forma parte de esa fórmula: es una señal “libre” que el modelo puede aprovechar para generalizar mejor de lo que haría la heurística que generó la etiqueta — igual que pasaría con datos reales, donde un reclutador no ve un número de similitud semántica al decidir.</w:t>
      </w:r>
    </w:p>
    <w:p>
      <w:pPr>
        <w:spacing w:before="280" w:after="120"/>
      </w:pPr>
      <w:r>
        <w:rPr>
          <w:b/>
          <w:color w:val="333333"/>
          <w:sz w:val="27"/>
        </w:rPr>
        <w:t>Métricas de evaluación (holdout del 20%)</w:t>
      </w:r>
    </w:p>
    <w:tbl>
      <w:tblPr>
        <w:tblStyle w:val="TableGrid"/>
        <w:tblW w:type="auto" w:w="0"/>
        <w:tblLook w:firstColumn="1" w:firstRow="1" w:lastColumn="0" w:lastRow="0" w:noHBand="0" w:noVBand="1" w:val="04A0"/>
      </w:tblPr>
      <w:tblGrid>
        <w:gridCol w:w="4873"/>
        <w:gridCol w:w="4873"/>
      </w:tblGrid>
      <w:tr>
        <w:tc>
          <w:tcPr>
            <w:tcW w:type="dxa" w:w="4535"/>
            <w:shd w:val="clear" w:color="auto" w:fill="9B1C1C"/>
            <w:vAlign w:val="center"/>
          </w:tcPr>
          <w:p>
            <w:r>
              <w:rPr>
                <w:b/>
                <w:color w:val="FFFFFF"/>
                <w:sz w:val="21"/>
              </w:rPr>
              <w:t>Métrica</w:t>
            </w:r>
          </w:p>
        </w:tc>
        <w:tc>
          <w:tcPr>
            <w:tcW w:type="dxa" w:w="4252"/>
            <w:shd w:val="clear" w:color="auto" w:fill="9B1C1C"/>
            <w:vAlign w:val="center"/>
          </w:tcPr>
          <w:p>
            <w:r>
              <w:rPr>
                <w:b/>
                <w:color w:val="FFFFFF"/>
                <w:sz w:val="21"/>
              </w:rPr>
              <w:t>Valor</w:t>
            </w:r>
          </w:p>
        </w:tc>
      </w:tr>
      <w:tr>
        <w:tc>
          <w:tcPr>
            <w:tcW w:type="dxa" w:w="4535"/>
            <w:vAlign w:val="center"/>
          </w:tcPr>
          <w:p>
            <w:r>
              <w:rPr>
                <w:sz w:val="21"/>
              </w:rPr>
              <w:t>Accuracy</w:t>
            </w:r>
          </w:p>
        </w:tc>
        <w:tc>
          <w:tcPr>
            <w:tcW w:type="dxa" w:w="4252"/>
            <w:vAlign w:val="center"/>
          </w:tcPr>
          <w:p>
            <w:r>
              <w:rPr>
                <w:sz w:val="21"/>
              </w:rPr>
              <w:t>91.1%</w:t>
            </w:r>
          </w:p>
        </w:tc>
      </w:tr>
      <w:tr>
        <w:tc>
          <w:tcPr>
            <w:tcW w:type="dxa" w:w="4535"/>
            <w:shd w:val="clear" w:color="auto" w:fill="F2F2F2"/>
            <w:vAlign w:val="center"/>
          </w:tcPr>
          <w:p>
            <w:r>
              <w:rPr>
                <w:sz w:val="21"/>
              </w:rPr>
              <w:t>F1-score</w:t>
            </w:r>
          </w:p>
        </w:tc>
        <w:tc>
          <w:tcPr>
            <w:tcW w:type="dxa" w:w="4252"/>
            <w:shd w:val="clear" w:color="auto" w:fill="F2F2F2"/>
            <w:vAlign w:val="center"/>
          </w:tcPr>
          <w:p>
            <w:r>
              <w:rPr>
                <w:sz w:val="21"/>
              </w:rPr>
              <w:t>88.0%</w:t>
            </w:r>
          </w:p>
        </w:tc>
      </w:tr>
      <w:tr>
        <w:tc>
          <w:tcPr>
            <w:tcW w:type="dxa" w:w="4535"/>
            <w:vAlign w:val="center"/>
          </w:tcPr>
          <w:p>
            <w:r>
              <w:rPr>
                <w:sz w:val="21"/>
              </w:rPr>
              <w:t>ROC-AUC</w:t>
            </w:r>
          </w:p>
        </w:tc>
        <w:tc>
          <w:tcPr>
            <w:tcW w:type="dxa" w:w="4252"/>
            <w:vAlign w:val="center"/>
          </w:tcPr>
          <w:p>
            <w:r>
              <w:rPr>
                <w:sz w:val="21"/>
              </w:rPr>
              <w:t>97.5%</w:t>
            </w:r>
          </w:p>
        </w:tc>
      </w:tr>
    </w:tbl>
    <w:p>
      <w:pPr>
        <w:spacing w:after="80"/>
      </w:pPr>
      <w:r>
        <w:rPr>
          <w:i w:val="0"/>
          <w:sz w:val="22"/>
        </w:rPr>
      </w:r>
    </w:p>
    <w:p>
      <w:pPr>
        <w:spacing w:before="280" w:after="120"/>
      </w:pPr>
      <w:r>
        <w:rPr>
          <w:b/>
          <w:color w:val="333333"/>
          <w:sz w:val="27"/>
        </w:rPr>
        <w:t>Importancia de cada feature en el modelo</w:t>
      </w:r>
    </w:p>
    <w:tbl>
      <w:tblPr>
        <w:tblStyle w:val="TableGrid"/>
        <w:tblW w:type="auto" w:w="0"/>
        <w:tblLook w:firstColumn="1" w:firstRow="1" w:lastColumn="0" w:lastRow="0" w:noHBand="0" w:noVBand="1" w:val="04A0"/>
      </w:tblPr>
      <w:tblGrid>
        <w:gridCol w:w="4873"/>
        <w:gridCol w:w="4873"/>
      </w:tblGrid>
      <w:tr>
        <w:tc>
          <w:tcPr>
            <w:tcW w:type="dxa" w:w="6236"/>
            <w:shd w:val="clear" w:color="auto" w:fill="9B1C1C"/>
            <w:vAlign w:val="center"/>
          </w:tcPr>
          <w:p>
            <w:r>
              <w:rPr>
                <w:b/>
                <w:color w:val="FFFFFF"/>
                <w:sz w:val="21"/>
              </w:rPr>
              <w:t>Feature</w:t>
            </w:r>
          </w:p>
        </w:tc>
        <w:tc>
          <w:tcPr>
            <w:tcW w:type="dxa" w:w="2551"/>
            <w:shd w:val="clear" w:color="auto" w:fill="9B1C1C"/>
            <w:vAlign w:val="center"/>
          </w:tcPr>
          <w:p>
            <w:r>
              <w:rPr>
                <w:b/>
                <w:color w:val="FFFFFF"/>
                <w:sz w:val="21"/>
              </w:rPr>
              <w:t>Importancia</w:t>
            </w:r>
          </w:p>
        </w:tc>
      </w:tr>
      <w:tr>
        <w:tc>
          <w:tcPr>
            <w:tcW w:type="dxa" w:w="6236"/>
            <w:vAlign w:val="center"/>
          </w:tcPr>
          <w:p>
            <w:r>
              <w:rPr>
                <w:sz w:val="21"/>
              </w:rPr>
              <w:t>Cobertura de skills obligatorias</w:t>
            </w:r>
          </w:p>
        </w:tc>
        <w:tc>
          <w:tcPr>
            <w:tcW w:type="dxa" w:w="2551"/>
            <w:vAlign w:val="center"/>
          </w:tcPr>
          <w:p>
            <w:r>
              <w:rPr>
                <w:sz w:val="21"/>
              </w:rPr>
              <w:t>81.2%</w:t>
            </w:r>
          </w:p>
        </w:tc>
      </w:tr>
      <w:tr>
        <w:tc>
          <w:tcPr>
            <w:tcW w:type="dxa" w:w="6236"/>
            <w:shd w:val="clear" w:color="auto" w:fill="F2F2F2"/>
            <w:vAlign w:val="center"/>
          </w:tcPr>
          <w:p>
            <w:r>
              <w:rPr>
                <w:sz w:val="21"/>
              </w:rPr>
              <w:t>Cobertura de skills deseables</w:t>
            </w:r>
          </w:p>
        </w:tc>
        <w:tc>
          <w:tcPr>
            <w:tcW w:type="dxa" w:w="2551"/>
            <w:shd w:val="clear" w:color="auto" w:fill="F2F2F2"/>
            <w:vAlign w:val="center"/>
          </w:tcPr>
          <w:p>
            <w:r>
              <w:rPr>
                <w:sz w:val="21"/>
              </w:rPr>
              <w:t>6.2%</w:t>
            </w:r>
          </w:p>
        </w:tc>
      </w:tr>
      <w:tr>
        <w:tc>
          <w:tcPr>
            <w:tcW w:type="dxa" w:w="6236"/>
            <w:vAlign w:val="center"/>
          </w:tcPr>
          <w:p>
            <w:r>
              <w:rPr>
                <w:sz w:val="21"/>
              </w:rPr>
              <w:t>Similitud semántica CV↔vacante</w:t>
            </w:r>
          </w:p>
        </w:tc>
        <w:tc>
          <w:tcPr>
            <w:tcW w:type="dxa" w:w="2551"/>
            <w:vAlign w:val="center"/>
          </w:tcPr>
          <w:p>
            <w:r>
              <w:rPr>
                <w:sz w:val="21"/>
              </w:rPr>
              <w:t>4.8%</w:t>
            </w:r>
          </w:p>
        </w:tc>
      </w:tr>
      <w:tr>
        <w:tc>
          <w:tcPr>
            <w:tcW w:type="dxa" w:w="6236"/>
            <w:shd w:val="clear" w:color="auto" w:fill="F2F2F2"/>
            <w:vAlign w:val="center"/>
          </w:tcPr>
          <w:p>
            <w:r>
              <w:rPr>
                <w:sz w:val="21"/>
              </w:rPr>
              <w:t>Años de experiencia vs. requerido</w:t>
            </w:r>
          </w:p>
        </w:tc>
        <w:tc>
          <w:tcPr>
            <w:tcW w:type="dxa" w:w="2551"/>
            <w:shd w:val="clear" w:color="auto" w:fill="F2F2F2"/>
            <w:vAlign w:val="center"/>
          </w:tcPr>
          <w:p>
            <w:r>
              <w:rPr>
                <w:sz w:val="21"/>
              </w:rPr>
              <w:t>4.3%</w:t>
            </w:r>
          </w:p>
        </w:tc>
      </w:tr>
      <w:tr>
        <w:tc>
          <w:tcPr>
            <w:tcW w:type="dxa" w:w="6236"/>
            <w:vAlign w:val="center"/>
          </w:tcPr>
          <w:p>
            <w:r>
              <w:rPr>
                <w:sz w:val="21"/>
              </w:rPr>
              <w:t>Nivel educativo vs. requerido</w:t>
            </w:r>
          </w:p>
        </w:tc>
        <w:tc>
          <w:tcPr>
            <w:tcW w:type="dxa" w:w="2551"/>
            <w:vAlign w:val="center"/>
          </w:tcPr>
          <w:p>
            <w:r>
              <w:rPr>
                <w:sz w:val="21"/>
              </w:rPr>
              <w:t>3.5%</w:t>
            </w:r>
          </w:p>
        </w:tc>
      </w:tr>
    </w:tbl>
    <w:p>
      <w:r>
        <w:br w:type="page"/>
      </w:r>
    </w:p>
    <w:p>
      <w:pPr>
        <w:spacing w:before="400" w:after="200"/>
        <w:pBdr>
          <w:bottom w:val="single" w:sz="6" w:space="4" w:color="9B1C1C"/>
        </w:pBdr>
      </w:pPr>
      <w:r>
        <w:rPr>
          <w:b/>
          <w:color w:val="9B1C1C"/>
          <w:sz w:val="34"/>
        </w:rPr>
        <w:t>6. Auditoría de sesgos y uso responsable</w:t>
      </w:r>
    </w:p>
    <w:p>
      <w:pPr>
        <w:spacing w:after="160"/>
      </w:pPr>
      <w:r>
        <w:rPr>
          <w:i w:val="0"/>
          <w:sz w:val="22"/>
        </w:rPr>
        <w:t>El módulo de fairness audita el RESULTADO del scoring — nunca es un input del modelo — comparando la tasa de selección entre grupos definidos por dos proxies estructurales ya documentados en la literatura de sesgo en contratación: el tier de universidad de origen y la existencia de brechas de empleo. Se aplica la regla del 80% (four-fifths rule), un estándar simplificado y ampliamente usado en auditorías de adverse impact: si la tasa de selección de un grupo cae por debajo del 80% de la del grupo con mejor tasa, se levanta una alerta para revisión humana.</w:t>
      </w:r>
    </w:p>
    <w:p>
      <w:pPr>
        <w:spacing w:after="160"/>
      </w:pPr>
      <w:r>
        <w:rPr>
          <w:i w:val="0"/>
          <w:sz w:val="22"/>
        </w:rPr>
        <w:t>Punto explícito de diseño responsable: el sistema NO infiere género, etnia, edad ni ninguna característica protegida a partir del nombre, la foto o cualquier otro dato del CV. Hacerlo sería tanto poco fiable como éticamente cuestionable. La clasificación de universidades en “tiers” es una simplificación ilustrativa para esta demo académica, no una jerarquía oficial. El score, en general, es una ayuda a la decisión y nunca debería usarse como único criterio de descarte automático sin revisión humana.</w:t>
      </w:r>
    </w:p>
    <w:p>
      <w:pPr>
        <w:spacing w:before="400" w:after="200"/>
        <w:pBdr>
          <w:bottom w:val="single" w:sz="6" w:space="4" w:color="9B1C1C"/>
        </w:pBdr>
      </w:pPr>
      <w:r>
        <w:rPr>
          <w:b/>
          <w:color w:val="9B1C1C"/>
          <w:sz w:val="34"/>
        </w:rPr>
        <w:t>7. Stack tecnológico</w:t>
      </w:r>
    </w:p>
    <w:tbl>
      <w:tblPr>
        <w:tblStyle w:val="TableGrid"/>
        <w:tblW w:type="auto" w:w="0"/>
        <w:tblLook w:firstColumn="1" w:firstRow="1" w:lastColumn="0" w:lastRow="0" w:noHBand="0" w:noVBand="1" w:val="04A0"/>
      </w:tblPr>
      <w:tblGrid>
        <w:gridCol w:w="4873"/>
        <w:gridCol w:w="4873"/>
      </w:tblGrid>
      <w:tr>
        <w:tc>
          <w:tcPr>
            <w:tcW w:type="dxa" w:w="3402"/>
            <w:shd w:val="clear" w:color="auto" w:fill="9B1C1C"/>
            <w:vAlign w:val="center"/>
          </w:tcPr>
          <w:p>
            <w:r>
              <w:rPr>
                <w:b/>
                <w:color w:val="FFFFFF"/>
                <w:sz w:val="21"/>
              </w:rPr>
              <w:t>Componente</w:t>
            </w:r>
          </w:p>
        </w:tc>
        <w:tc>
          <w:tcPr>
            <w:tcW w:type="dxa" w:w="5386"/>
            <w:shd w:val="clear" w:color="auto" w:fill="9B1C1C"/>
            <w:vAlign w:val="center"/>
          </w:tcPr>
          <w:p>
            <w:r>
              <w:rPr>
                <w:b/>
                <w:color w:val="FFFFFF"/>
                <w:sz w:val="21"/>
              </w:rPr>
              <w:t>Tecnología</w:t>
            </w:r>
          </w:p>
        </w:tc>
      </w:tr>
      <w:tr>
        <w:tc>
          <w:tcPr>
            <w:tcW w:type="dxa" w:w="3402"/>
            <w:vAlign w:val="center"/>
          </w:tcPr>
          <w:p>
            <w:r>
              <w:rPr>
                <w:sz w:val="21"/>
              </w:rPr>
              <w:t>Lenguaje</w:t>
            </w:r>
          </w:p>
        </w:tc>
        <w:tc>
          <w:tcPr>
            <w:tcW w:type="dxa" w:w="5386"/>
            <w:vAlign w:val="center"/>
          </w:tcPr>
          <w:p>
            <w:r>
              <w:rPr>
                <w:sz w:val="21"/>
              </w:rPr>
              <w:t>Python</w:t>
            </w:r>
          </w:p>
        </w:tc>
      </w:tr>
      <w:tr>
        <w:tc>
          <w:tcPr>
            <w:tcW w:type="dxa" w:w="3402"/>
            <w:shd w:val="clear" w:color="auto" w:fill="F2F2F2"/>
            <w:vAlign w:val="center"/>
          </w:tcPr>
          <w:p>
            <w:r>
              <w:rPr>
                <w:sz w:val="21"/>
              </w:rPr>
              <w:t>Modelo de scoring</w:t>
            </w:r>
          </w:p>
        </w:tc>
        <w:tc>
          <w:tcPr>
            <w:tcW w:type="dxa" w:w="5386"/>
            <w:shd w:val="clear" w:color="auto" w:fill="F2F2F2"/>
            <w:vAlign w:val="center"/>
          </w:tcPr>
          <w:p>
            <w:r>
              <w:rPr>
                <w:sz w:val="21"/>
              </w:rPr>
              <w:t>scikit-learn — GradientBoostingClassifier</w:t>
            </w:r>
          </w:p>
        </w:tc>
      </w:tr>
      <w:tr>
        <w:tc>
          <w:tcPr>
            <w:tcW w:type="dxa" w:w="3402"/>
            <w:vAlign w:val="center"/>
          </w:tcPr>
          <w:p>
            <w:r>
              <w:rPr>
                <w:sz w:val="21"/>
              </w:rPr>
              <w:t>Detección de anomalías</w:t>
            </w:r>
          </w:p>
        </w:tc>
        <w:tc>
          <w:tcPr>
            <w:tcW w:type="dxa" w:w="5386"/>
            <w:vAlign w:val="center"/>
          </w:tcPr>
          <w:p>
            <w:r>
              <w:rPr>
                <w:sz w:val="21"/>
              </w:rPr>
              <w:t>scikit-learn — IsolationForest</w:t>
            </w:r>
          </w:p>
        </w:tc>
      </w:tr>
      <w:tr>
        <w:tc>
          <w:tcPr>
            <w:tcW w:type="dxa" w:w="3402"/>
            <w:shd w:val="clear" w:color="auto" w:fill="F2F2F2"/>
            <w:vAlign w:val="center"/>
          </w:tcPr>
          <w:p>
            <w:r>
              <w:rPr>
                <w:sz w:val="21"/>
              </w:rPr>
              <w:t>Embeddings semánticos</w:t>
            </w:r>
          </w:p>
        </w:tc>
        <w:tc>
          <w:tcPr>
            <w:tcW w:type="dxa" w:w="5386"/>
            <w:shd w:val="clear" w:color="auto" w:fill="F2F2F2"/>
            <w:vAlign w:val="center"/>
          </w:tcPr>
          <w:p>
            <w:r>
              <w:rPr>
                <w:sz w:val="21"/>
              </w:rPr>
              <w:t>sentence-transformers (all-MiniLM-L6-v2), 100% local</w:t>
            </w:r>
          </w:p>
        </w:tc>
      </w:tr>
      <w:tr>
        <w:tc>
          <w:tcPr>
            <w:tcW w:type="dxa" w:w="3402"/>
            <w:vAlign w:val="center"/>
          </w:tcPr>
          <w:p>
            <w:r>
              <w:rPr>
                <w:sz w:val="21"/>
              </w:rPr>
              <w:t>Extracción de habilidades</w:t>
            </w:r>
          </w:p>
        </w:tc>
        <w:tc>
          <w:tcPr>
            <w:tcW w:type="dxa" w:w="5386"/>
            <w:vAlign w:val="center"/>
          </w:tcPr>
          <w:p>
            <w:r>
              <w:rPr>
                <w:sz w:val="21"/>
              </w:rPr>
              <w:t>rapidfuzz (fuzzy matching)</w:t>
            </w:r>
          </w:p>
        </w:tc>
      </w:tr>
      <w:tr>
        <w:tc>
          <w:tcPr>
            <w:tcW w:type="dxa" w:w="3402"/>
            <w:shd w:val="clear" w:color="auto" w:fill="F2F2F2"/>
            <w:vAlign w:val="center"/>
          </w:tcPr>
          <w:p>
            <w:r>
              <w:rPr>
                <w:sz w:val="21"/>
              </w:rPr>
              <w:t>Explicabilidad</w:t>
            </w:r>
          </w:p>
        </w:tc>
        <w:tc>
          <w:tcPr>
            <w:tcW w:type="dxa" w:w="5386"/>
            <w:shd w:val="clear" w:color="auto" w:fill="F2F2F2"/>
            <w:vAlign w:val="center"/>
          </w:tcPr>
          <w:p>
            <w:r>
              <w:rPr>
                <w:sz w:val="21"/>
              </w:rPr>
              <w:t>SHAP (TreeExplainer)</w:t>
            </w:r>
          </w:p>
        </w:tc>
      </w:tr>
      <w:tr>
        <w:tc>
          <w:tcPr>
            <w:tcW w:type="dxa" w:w="3402"/>
            <w:vAlign w:val="center"/>
          </w:tcPr>
          <w:p>
            <w:r>
              <w:rPr>
                <w:sz w:val="21"/>
              </w:rPr>
              <w:t>Parsing de documentos</w:t>
            </w:r>
          </w:p>
        </w:tc>
        <w:tc>
          <w:tcPr>
            <w:tcW w:type="dxa" w:w="5386"/>
            <w:vAlign w:val="center"/>
          </w:tcPr>
          <w:p>
            <w:r>
              <w:rPr>
                <w:sz w:val="21"/>
              </w:rPr>
              <w:t>pypdf, python-docx</w:t>
            </w:r>
          </w:p>
        </w:tc>
      </w:tr>
      <w:tr>
        <w:tc>
          <w:tcPr>
            <w:tcW w:type="dxa" w:w="3402"/>
            <w:shd w:val="clear" w:color="auto" w:fill="F2F2F2"/>
            <w:vAlign w:val="center"/>
          </w:tcPr>
          <w:p>
            <w:r>
              <w:rPr>
                <w:sz w:val="21"/>
              </w:rPr>
              <w:t>Dashboard</w:t>
            </w:r>
          </w:p>
        </w:tc>
        <w:tc>
          <w:tcPr>
            <w:tcW w:type="dxa" w:w="5386"/>
            <w:shd w:val="clear" w:color="auto" w:fill="F2F2F2"/>
            <w:vAlign w:val="center"/>
          </w:tcPr>
          <w:p>
            <w:r>
              <w:rPr>
                <w:sz w:val="21"/>
              </w:rPr>
              <w:t>Streamlit + Plotly</w:t>
            </w:r>
          </w:p>
        </w:tc>
      </w:tr>
      <w:tr>
        <w:tc>
          <w:tcPr>
            <w:tcW w:type="dxa" w:w="3402"/>
            <w:vAlign w:val="center"/>
          </w:tcPr>
          <w:p>
            <w:r>
              <w:rPr>
                <w:sz w:val="21"/>
              </w:rPr>
              <w:t>Persistencia de modelos</w:t>
            </w:r>
          </w:p>
        </w:tc>
        <w:tc>
          <w:tcPr>
            <w:tcW w:type="dxa" w:w="5386"/>
            <w:vAlign w:val="center"/>
          </w:tcPr>
          <w:p>
            <w:r>
              <w:rPr>
                <w:sz w:val="21"/>
              </w:rPr>
              <w:t>joblib</w:t>
            </w:r>
          </w:p>
        </w:tc>
      </w:tr>
    </w:tbl>
    <w:p>
      <w:pPr>
        <w:spacing w:before="400" w:after="200"/>
        <w:pBdr>
          <w:bottom w:val="single" w:sz="6" w:space="4" w:color="9B1C1C"/>
        </w:pBdr>
      </w:pPr>
      <w:r>
        <w:rPr>
          <w:b/>
          <w:color w:val="9B1C1C"/>
          <w:sz w:val="34"/>
        </w:rPr>
        <w:t>8. Cómo ejecutar el proyecto</w:t>
      </w:r>
    </w:p>
    <w:p>
      <w:pPr>
        <w:spacing w:after="160"/>
      </w:pPr>
      <w:r>
        <w:rPr>
          <w:b/>
        </w:rPr>
        <w:t xml:space="preserve">Instalar dependencias: </w:t>
      </w:r>
      <w:r>
        <w:t>pip install -r requirements.txt</w:t>
      </w:r>
    </w:p>
    <w:p>
      <w:pPr>
        <w:spacing w:after="160"/>
      </w:pPr>
      <w:r>
        <w:rPr>
          <w:b/>
        </w:rPr>
        <w:t xml:space="preserve">Generar datos y entrenar: </w:t>
      </w:r>
      <w:r>
        <w:t>python src/synthetic_data.py · python src/train_model.py · python src/anomaly.py</w:t>
      </w:r>
    </w:p>
    <w:p>
      <w:pPr>
        <w:spacing w:after="160"/>
      </w:pPr>
      <w:r>
        <w:rPr>
          <w:b/>
        </w:rPr>
        <w:t xml:space="preserve">Levantar el dashboard: </w:t>
      </w:r>
      <w:r>
        <w:t>streamlit run app.py</w:t>
      </w:r>
    </w:p>
    <w:p>
      <w:pPr>
        <w:spacing w:after="160"/>
      </w:pPr>
      <w:r>
        <w:rPr>
          <w:i w:val="0"/>
          <w:sz w:val="22"/>
        </w:rPr>
        <w:t>La primera ejecución descarga el modelo de embeddings (~80 MB) desde Hugging Face; después de eso, todo el pipeline corre sin conexión a internet.</w:t>
      </w:r>
    </w:p>
    <w:p>
      <w:pPr>
        <w:spacing w:before="400" w:after="200"/>
        <w:pBdr>
          <w:bottom w:val="single" w:sz="6" w:space="4" w:color="9B1C1C"/>
        </w:pBdr>
      </w:pPr>
      <w:r>
        <w:rPr>
          <w:b/>
          <w:color w:val="9B1C1C"/>
          <w:sz w:val="34"/>
        </w:rPr>
        <w:t>9. Limitaciones conocidas</w:t>
      </w:r>
    </w:p>
    <w:p>
      <w:pPr>
        <w:pStyle w:val="ListBullet"/>
        <w:spacing w:after="80"/>
      </w:pPr>
      <w:r>
        <w:t>El dataset de entrenamiento es sintético; un despliegue real requeriría reentrenar con decisiones históricas reales, con auditoría de sesgo continua.</w:t>
      </w:r>
    </w:p>
    <w:p>
      <w:pPr>
        <w:pStyle w:val="ListBullet"/>
        <w:spacing w:after="80"/>
      </w:pPr>
      <w:r>
        <w:t>La extracción de años de experiencia y universidad usa heurísticas de texto (regex + palabras clave), no un parser de CV comercial.</w:t>
      </w:r>
    </w:p>
    <w:p>
      <w:pPr>
        <w:pStyle w:val="ListBullet"/>
        <w:spacing w:after="80"/>
      </w:pPr>
      <w:r>
        <w:t>La auditoría de sesgos es una señal de alerta para revisión humana, no una conclusión legal definitiva.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