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  <w:sectPr>
          <w:headerReference r:id="rId6" w:type="default"/>
          <w:headerReference r:id="rId7" w:type="first"/>
          <w:footerReference r:id="rId8" w:type="first"/>
          <w:pgSz w:h="11909" w:w="16834" w:orient="landscape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-430911</wp:posOffset>
            </wp:positionH>
            <wp:positionV relativeFrom="paragraph">
              <wp:posOffset>114300</wp:posOffset>
            </wp:positionV>
            <wp:extent cx="9721847" cy="635940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1847" cy="6359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00" w:lineRule="auto"/>
        <w:jc w:val="center"/>
        <w:rPr>
          <w:rFonts w:ascii="Bookman Old Style" w:cs="Bookman Old Style" w:eastAsia="Bookman Old Style" w:hAnsi="Bookman Old Style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Rule="auto"/>
        <w:jc w:val="center"/>
        <w:rPr>
          <w:rFonts w:ascii="Bookman Old Style" w:cs="Bookman Old Style" w:eastAsia="Bookman Old Style" w:hAnsi="Bookman Old Style"/>
          <w:b w:val="1"/>
          <w:sz w:val="50"/>
          <w:szCs w:val="50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50"/>
          <w:szCs w:val="50"/>
          <w:u w:val="single"/>
          <w:rtl w:val="0"/>
        </w:rPr>
        <w:t xml:space="preserve">Struttura Dati:</w:t>
      </w:r>
    </w:p>
    <w:p w:rsidR="00000000" w:rsidDel="00000000" w:rsidP="00000000" w:rsidRDefault="00000000" w:rsidRPr="00000000" w14:paraId="00000004">
      <w:pPr>
        <w:spacing w:before="10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char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 Tstringa[DIM];</w:t>
      </w:r>
    </w:p>
    <w:p w:rsidR="00000000" w:rsidDel="00000000" w:rsidP="00000000" w:rsidRDefault="00000000" w:rsidRPr="00000000" w14:paraId="00000006">
      <w:pPr>
        <w:spacing w:before="100" w:lineRule="auto"/>
        <w:rPr>
          <w:rFonts w:ascii="Bookman Old Style" w:cs="Bookman Old Style" w:eastAsia="Bookman Old Style" w:hAnsi="Bookman Old Style"/>
          <w:color w:val="00b0f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struct</w:t>
      </w:r>
    </w:p>
    <w:p w:rsidR="00000000" w:rsidDel="00000000" w:rsidP="00000000" w:rsidRDefault="00000000" w:rsidRPr="00000000" w14:paraId="00000007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Tstringa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 nomeProcesso;</w:t>
      </w:r>
    </w:p>
    <w:p w:rsidR="00000000" w:rsidDel="00000000" w:rsidP="00000000" w:rsidRDefault="00000000" w:rsidRPr="00000000" w14:paraId="00000009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tempo;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}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Tprocesso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before="10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struct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Tnodo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Tprocesso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 processo;</w:t>
      </w:r>
    </w:p>
    <w:p w:rsidR="00000000" w:rsidDel="00000000" w:rsidP="00000000" w:rsidRDefault="00000000" w:rsidRPr="00000000" w14:paraId="0000000F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struct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Tnodo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 *next;</w:t>
      </w:r>
    </w:p>
    <w:p w:rsidR="00000000" w:rsidDel="00000000" w:rsidP="00000000" w:rsidRDefault="00000000" w:rsidRPr="00000000" w14:paraId="00000010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} Tnodo;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Tnodo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* TnodoPtr;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Rule="auto"/>
        <w:rPr>
          <w:rFonts w:ascii="Bookman Old Style" w:cs="Bookman Old Style" w:eastAsia="Bookman Old Style" w:hAnsi="Bookman Old Style"/>
          <w:color w:val="00b0f0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struct</w:t>
      </w:r>
    </w:p>
    <w:p w:rsidR="00000000" w:rsidDel="00000000" w:rsidP="00000000" w:rsidRDefault="00000000" w:rsidRPr="00000000" w14:paraId="00000015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TnodoPtr testa;</w:t>
      </w:r>
    </w:p>
    <w:p w:rsidR="00000000" w:rsidDel="00000000" w:rsidP="00000000" w:rsidRDefault="00000000" w:rsidRPr="00000000" w14:paraId="00000017">
      <w:pPr>
        <w:spacing w:before="100" w:lineRule="auto"/>
        <w:ind w:firstLine="425.19685039370086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TnodoPtr coda;</w:t>
      </w:r>
    </w:p>
    <w:p w:rsidR="00000000" w:rsidDel="00000000" w:rsidP="00000000" w:rsidRDefault="00000000" w:rsidRPr="00000000" w14:paraId="00000018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}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Tlista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b0f0"/>
          <w:sz w:val="32"/>
          <w:szCs w:val="32"/>
          <w:rtl w:val="0"/>
        </w:rPr>
        <w:t xml:space="preserve">typedef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Tlista array[5];</w:t>
      </w:r>
    </w:p>
    <w:p w:rsidR="00000000" w:rsidDel="00000000" w:rsidP="00000000" w:rsidRDefault="00000000" w:rsidRPr="00000000" w14:paraId="0000001B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0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  <w:rPr>
          <w:rFonts w:ascii="Bookman Old Style" w:cs="Bookman Old Style" w:eastAsia="Bookman Old Style" w:hAnsi="Bookman Old Style"/>
          <w:b w:val="1"/>
          <w:sz w:val="34"/>
          <w:szCs w:val="3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u w:val="single"/>
          <w:rtl w:val="0"/>
        </w:rPr>
        <w:t xml:space="preserve">SPIEGAZIONE DELLA SCELTA ADOTTATA PER LA STRUTTURA DATI: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Questa struttura dati, costituita da un array di code differenziate per priorità, ci permette di ottimizzare l’efficienza dell’algoritmo poiché non è necessario effettuare un inserimento ordinato del processo scorrendo una lista singola.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34"/>
          <w:szCs w:val="3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u w:val="single"/>
          <w:rtl w:val="0"/>
        </w:rPr>
        <w:t xml:space="preserve">GESTIONE DELLA CODA:</w:t>
      </w:r>
    </w:p>
    <w:p w:rsidR="00000000" w:rsidDel="00000000" w:rsidP="00000000" w:rsidRDefault="00000000" w:rsidRPr="00000000" w14:paraId="00000022">
      <w:pPr>
        <w:spacing w:before="10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La coda è un tipo di lista che viene gestita tramite due puntatori, uno alla testa ed uno alla coda.</w:t>
      </w:r>
    </w:p>
    <w:p w:rsidR="00000000" w:rsidDel="00000000" w:rsidP="00000000" w:rsidRDefault="00000000" w:rsidRPr="00000000" w14:paraId="00000023">
      <w:pPr>
        <w:spacing w:after="240" w:before="10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Ogni volta che viene generato un nuovo processo, di priorità “p”, viene accodato alla lista corrispondente tramite il puntatore all’ultimo elemento.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00" w:lineRule="auto"/>
        <w:ind w:left="720" w:hanging="360"/>
        <w:jc w:val="both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u w:val="single"/>
          <w:rtl w:val="0"/>
        </w:rPr>
        <w:t xml:space="preserve">GESTIONE DEL LAVORO:</w:t>
      </w:r>
    </w:p>
    <w:p w:rsidR="00000000" w:rsidDel="00000000" w:rsidP="00000000" w:rsidRDefault="00000000" w:rsidRPr="00000000" w14:paraId="00000025">
      <w:pPr>
        <w:spacing w:before="240" w:lineRule="auto"/>
        <w:ind w:left="720" w:firstLine="0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Il lavoro verrà svolto da tutto il gruppo riunito.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27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Fonts w:ascii="Bookman Old Style" w:cs="Bookman Old Style" w:eastAsia="Bookman Old Style" w:hAnsi="Bookman Old Style"/>
        <w:b w:val="1"/>
        <w:sz w:val="26"/>
        <w:szCs w:val="26"/>
        <w:rtl w:val="0"/>
      </w:rPr>
      <w:t xml:space="preserve">Gruppo A</w:t>
    </w:r>
    <w:r w:rsidDel="00000000" w:rsidR="00000000" w:rsidRPr="00000000">
      <w:rPr>
        <w:rFonts w:ascii="Bookman Old Style" w:cs="Bookman Old Style" w:eastAsia="Bookman Old Style" w:hAnsi="Bookman Old Style"/>
        <w:sz w:val="26"/>
        <w:szCs w:val="26"/>
        <w:rtl w:val="0"/>
      </w:rPr>
      <w:t xml:space="preserve"> </w:t>
    </w:r>
    <w:r w:rsidDel="00000000" w:rsidR="00000000" w:rsidRPr="00000000">
      <w:rPr>
        <w:rFonts w:ascii="Bookman Old Style" w:cs="Bookman Old Style" w:eastAsia="Bookman Old Style" w:hAnsi="Bookman Old Style"/>
        <w:b w:val="1"/>
        <w:sz w:val="26"/>
        <w:szCs w:val="26"/>
        <w:rtl w:val="0"/>
      </w:rPr>
      <w:t xml:space="preserve">-</w:t>
    </w:r>
    <w:r w:rsidDel="00000000" w:rsidR="00000000" w:rsidRPr="00000000">
      <w:rPr>
        <w:rFonts w:ascii="Bookman Old Style" w:cs="Bookman Old Style" w:eastAsia="Bookman Old Style" w:hAnsi="Bookman Old Style"/>
        <w:sz w:val="26"/>
        <w:szCs w:val="26"/>
        <w:rtl w:val="0"/>
      </w:rPr>
      <w:t xml:space="preserve"> Nickname: Tarta Ninja </w:t>
    </w:r>
    <w:r w:rsidDel="00000000" w:rsidR="00000000" w:rsidRPr="00000000">
      <w:rPr>
        <w:sz w:val="30"/>
        <w:szCs w:val="30"/>
        <w:highlight w:val="white"/>
        <w:rtl w:val="0"/>
      </w:rPr>
      <w:t xml:space="preserve">🐢</w:t>
    </w:r>
    <w:r w:rsidDel="00000000" w:rsidR="00000000" w:rsidRPr="00000000">
      <w:rPr>
        <w:rFonts w:ascii="Bookman Old Style" w:cs="Bookman Old Style" w:eastAsia="Bookman Old Style" w:hAnsi="Bookman Old Style"/>
        <w:sz w:val="26"/>
        <w:szCs w:val="26"/>
        <w:rtl w:val="0"/>
      </w:rPr>
      <w:br w:type="textWrapping"/>
      <w:t xml:space="preserve">Cainarca, Casiglio, Partenope, Timis</w:t>
      <w:tab/>
      <w:tab/>
      <w:tab/>
      <w:tab/>
      <w:tab/>
      <w:tab/>
      <w:tab/>
      <w:tab/>
      <w:t xml:space="preserve">Como, 25 Febbraio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