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b/>
        </w:rPr>
        <w:t xml:space="preserve">Travel Policy TP-7, revision C</w:t>
      </w:r>
    </w:p>
    <w:p>
      <w:r>
        <w:t xml:space="preserve">Owner: Finance. Applies to all business travel booked on or after 1 January 2026.</w:t>
      </w:r>
    </w:p>
    <w:p>
      <w:pPr>
        <w:pStyle w:val="Heading1"/>
      </w:pPr>
      <w:r>
        <w:rPr>
          <w:b/>
        </w:rPr>
        <w:t xml:space="preserve">1. Approval</w:t>
      </w:r>
    </w:p>
    <w:p>
      <w:r>
        <w:t xml:space="preserve">A trip whose total estimated cost is below 1,200 EUR is approved by the traveller's line manager. A trip costing from 1,200 EUR up to and including 4,000 EUR requires the approval of the department head. Any trip above 4,000 EUR must be approved by the Chief Financial Officer, Marta Quiroga.</w:t>
      </w:r>
    </w:p>
    <w:p>
      <w:pPr>
        <w:pStyle w:val="Heading1"/>
      </w:pPr>
      <w:r>
        <w:rPr>
          <w:b/>
        </w:rPr>
        <w:t xml:space="preserve">2. Mode of transport</w:t>
      </w:r>
    </w:p>
    <w:p>
      <w:r>
        <w:t xml:space="preserve">Rail is the preferred mode for any journey that takes under 4 hours door to door. For flights, economy class applies to flights under 6 hours. Premium economy is allowed for flights of 6 to 9 hours. Business class is allowed for flights above 9 hours, or with a medical note approved by HR.</w:t>
      </w:r>
    </w:p>
    <w:p>
      <w:r>
        <w:t xml:space="preserve">Use of a private car is reimbursed at 0.39 EUR per kilometre. Tolls and parking are reimbursed at cost with a receipt.</w:t>
      </w:r>
    </w:p>
    <w:p>
      <w:pPr>
        <w:pStyle w:val="Heading1"/>
      </w:pPr>
      <w:r>
        <w:rPr>
          <w:b/>
        </w:rPr>
        <w:t xml:space="preserve">3. Per diem</w:t>
      </w:r>
    </w:p>
    <w:p>
      <w:r>
        <w:t xml:space="preserve">The per diem covers meals and incidental costs for each full travel day:</w:t>
      </w:r>
    </w:p>
    <w:tbl>
      <w:tr>
        <w:tc>
          <w:p>
            <w:r>
              <w:t xml:space="preserve">Destination</w:t>
            </w:r>
          </w:p>
        </w:tc>
        <w:tc>
          <w:p>
            <w:r>
              <w:t xml:space="preserve">Per diem (EUR per day)</w:t>
            </w:r>
          </w:p>
        </w:tc>
      </w:tr>
      <w:tr>
        <w:tc>
          <w:p>
            <w:r>
              <w:t xml:space="preserve">Domestic (Italy)</w:t>
            </w:r>
          </w:p>
        </w:tc>
        <w:tc>
          <w:p>
            <w:r>
              <w:t xml:space="preserve">52</w:t>
            </w:r>
          </w:p>
        </w:tc>
      </w:tr>
      <w:tr>
        <w:tc>
          <w:p>
            <w:r>
              <w:t xml:space="preserve">European Union</w:t>
            </w:r>
          </w:p>
        </w:tc>
        <w:tc>
          <w:p>
            <w:r>
              <w:t xml:space="preserve">68</w:t>
            </w:r>
          </w:p>
        </w:tc>
      </w:tr>
      <w:tr>
        <w:tc>
          <w:p>
            <w:r>
              <w:t xml:space="preserve">Outside the European Union</w:t>
            </w:r>
          </w:p>
        </w:tc>
        <w:tc>
          <w:p>
            <w:r>
              <w:t xml:space="preserve">81</w:t>
            </w:r>
          </w:p>
        </w:tc>
      </w:tr>
    </w:tbl>
    <w:p>
      <w:pPr>
        <w:pStyle w:val="Heading1"/>
      </w:pPr>
      <w:r>
        <w:rPr>
          <w:b/>
        </w:rPr>
        <w:t xml:space="preserve">4. Hotel caps</w:t>
      </w:r>
    </w:p>
    <w:p>
      <w:r>
        <w:t xml:space="preserve">Hotel costs are reimbursed up to the following nightly caps, breakfast included:</w:t>
      </w:r>
    </w:p>
    <w:tbl>
      <w:tr>
        <w:tc>
          <w:p>
            <w:r>
              <w:t xml:space="preserve">City</w:t>
            </w:r>
          </w:p>
        </w:tc>
        <w:tc>
          <w:p>
            <w:r>
              <w:t xml:space="preserve">Nightly cap</w:t>
            </w:r>
          </w:p>
        </w:tc>
      </w:tr>
      <w:tr>
        <w:tc>
          <w:p>
            <w:r>
              <w:t xml:space="preserve">Milan</w:t>
            </w:r>
          </w:p>
        </w:tc>
        <w:tc>
          <w:p>
            <w:r>
              <w:t xml:space="preserve">165 EUR</w:t>
            </w:r>
          </w:p>
        </w:tc>
      </w:tr>
      <w:tr>
        <w:tc>
          <w:p>
            <w:r>
              <w:t xml:space="preserve">Frankfurt</w:t>
            </w:r>
          </w:p>
        </w:tc>
        <w:tc>
          <w:p>
            <w:r>
              <w:t xml:space="preserve">180 EUR</w:t>
            </w:r>
          </w:p>
        </w:tc>
      </w:tr>
      <w:tr>
        <w:tc>
          <w:p>
            <w:r>
              <w:t xml:space="preserve">London</w:t>
            </w:r>
          </w:p>
        </w:tc>
        <w:tc>
          <w:p>
            <w:r>
              <w:t xml:space="preserve">210 GBP</w:t>
            </w:r>
          </w:p>
        </w:tc>
      </w:tr>
      <w:tr>
        <w:tc>
          <w:p>
            <w:r>
              <w:t xml:space="preserve">Any other city</w:t>
            </w:r>
          </w:p>
        </w:tc>
        <w:tc>
          <w:p>
            <w:r>
              <w:t xml:space="preserve">140 EUR</w:t>
            </w:r>
          </w:p>
        </w:tc>
      </w:tr>
    </w:tbl>
    <w:p>
      <w:pPr>
        <w:pStyle w:val="Heading1"/>
      </w:pPr>
      <w:r>
        <w:rPr>
          <w:b/>
        </w:rPr>
        <w:t xml:space="preserve">5. Booking</w:t>
      </w:r>
    </w:p>
    <w:p>
      <w:r>
        <w:t xml:space="preserve">All travel is booked through TravelDesk at least 10 working days before departure. A booking made later than that requires the justification code LB-2 and a one-line reason.</w:t>
      </w:r>
    </w:p>
  </w:body>
</w:document>
</file>