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28705" w14:textId="2DEF25AD" w:rsidR="00E2376D" w:rsidRPr="005504F5" w:rsidRDefault="00E2376D" w:rsidP="00E2376D">
      <w:pPr>
        <w:rPr>
          <w:sz w:val="24"/>
          <w:szCs w:val="24"/>
        </w:rPr>
      </w:pPr>
      <w:r w:rsidRPr="005504F5">
        <w:rPr>
          <w:sz w:val="24"/>
          <w:szCs w:val="24"/>
        </w:rPr>
        <w:t>Art. 27</w:t>
      </w:r>
    </w:p>
    <w:p w14:paraId="7A42990A" w14:textId="77777777" w:rsidR="00E2376D" w:rsidRPr="005504F5" w:rsidRDefault="00E2376D" w:rsidP="00E2376D">
      <w:pPr>
        <w:rPr>
          <w:b/>
          <w:bCs/>
          <w:sz w:val="24"/>
          <w:szCs w:val="24"/>
        </w:rPr>
      </w:pPr>
      <w:r w:rsidRPr="005504F5">
        <w:rPr>
          <w:b/>
          <w:bCs/>
          <w:sz w:val="24"/>
          <w:szCs w:val="24"/>
        </w:rPr>
        <w:t>Provvedimento unico in materia ambientale</w:t>
      </w:r>
    </w:p>
    <w:p w14:paraId="67F606BF" w14:textId="77777777" w:rsidR="00E2376D" w:rsidRPr="005504F5" w:rsidRDefault="00E2376D" w:rsidP="00E2376D">
      <w:pPr>
        <w:rPr>
          <w:sz w:val="24"/>
          <w:szCs w:val="24"/>
        </w:rPr>
      </w:pPr>
      <w:r w:rsidRPr="005504F5">
        <w:rPr>
          <w:sz w:val="24"/>
          <w:szCs w:val="24"/>
        </w:rPr>
        <w:t xml:space="preserve">1. </w:t>
      </w:r>
      <w:r w:rsidRPr="005504F5">
        <w:rPr>
          <w:sz w:val="24"/>
          <w:szCs w:val="24"/>
          <w:u w:val="single"/>
        </w:rPr>
        <w:t>Nel caso di procedimenti di VIA di competenza statale</w:t>
      </w:r>
      <w:r w:rsidRPr="005504F5">
        <w:rPr>
          <w:sz w:val="24"/>
          <w:szCs w:val="24"/>
        </w:rPr>
        <w:t xml:space="preserve">, il </w:t>
      </w:r>
      <w:r w:rsidRPr="005504F5">
        <w:rPr>
          <w:sz w:val="24"/>
          <w:szCs w:val="24"/>
          <w:u w:val="single"/>
        </w:rPr>
        <w:t>proponente può richiedere all’autorità competente che il provvedimento di VIA sia rilasciato nell’ambito di un provvedimento unico comprensivo delle autorizzazioni ambientali tra quelle elencate al comma 2 richieste dalla normativa vigente per la realizzazione e l’esercizio del progetto</w:t>
      </w:r>
      <w:r w:rsidRPr="005504F5">
        <w:rPr>
          <w:sz w:val="24"/>
          <w:szCs w:val="24"/>
        </w:rPr>
        <w:t>. A tal fine, il proponente presenta un’istanza ai sensi dell’articolo 23, avendo cura che l’avviso al pubblico di cui all’articolo 24, comma 2, rechi altresì specifica indicazione delle autorizzazioni di cui al comma 2, nonché la documentazione e gli elaborati progettuali previsti dalle normative di settore per consentire la compiuta istruttoria tecnico-amministrativa finalizzata al rilascio di tutti i titoli ambientali di cui al comma 2. A tale istanza, laddove necessario, si applica l’articolo 93 del decreto del Presidente della Repubblica 6 giugno 2001, n. 380.</w:t>
      </w:r>
    </w:p>
    <w:p w14:paraId="646DBFCD" w14:textId="77777777" w:rsidR="00E2376D" w:rsidRPr="005504F5" w:rsidRDefault="00E2376D" w:rsidP="00E2376D">
      <w:pPr>
        <w:rPr>
          <w:sz w:val="24"/>
          <w:szCs w:val="24"/>
        </w:rPr>
      </w:pPr>
      <w:r w:rsidRPr="005504F5">
        <w:rPr>
          <w:sz w:val="24"/>
          <w:szCs w:val="24"/>
        </w:rPr>
        <w:t>2. È facoltà del proponente richiedere l’esclusione dal presente procedimento dell’acquisizione di autorizzazioni, intese, concessioni, licenze, pareri, concerti, nulla osta e assensi comunque denominati, nel caso in cui le relative normative di settore richiedano, per consentire una compiuta istruttoria tecnico-amministrativa, un livello di progettazione esecutivo. Il provvedimento unico di cui al comma 1 comprende il rilascio dei seguenti titoli laddove necessario:</w:t>
      </w:r>
    </w:p>
    <w:p w14:paraId="61640352" w14:textId="77777777" w:rsidR="00E2376D" w:rsidRPr="005504F5" w:rsidRDefault="00E2376D" w:rsidP="00E2376D">
      <w:pPr>
        <w:rPr>
          <w:sz w:val="24"/>
          <w:szCs w:val="24"/>
        </w:rPr>
      </w:pPr>
      <w:r w:rsidRPr="005504F5">
        <w:rPr>
          <w:sz w:val="24"/>
          <w:szCs w:val="24"/>
        </w:rPr>
        <w:t>a) autorizzazione integrata ambientale ai sensi del Titolo III-bis della Parte II del presente decreto;</w:t>
      </w:r>
    </w:p>
    <w:p w14:paraId="54E0578D" w14:textId="77777777" w:rsidR="00E2376D" w:rsidRPr="005504F5" w:rsidRDefault="00E2376D" w:rsidP="00E2376D">
      <w:pPr>
        <w:rPr>
          <w:sz w:val="24"/>
          <w:szCs w:val="24"/>
        </w:rPr>
      </w:pPr>
      <w:r w:rsidRPr="005504F5">
        <w:rPr>
          <w:sz w:val="24"/>
          <w:szCs w:val="24"/>
        </w:rPr>
        <w:t>b) autorizzazione riguardante la disciplina degli scarichi nel sottosuolo e nelle acque sotterranee di cui all’articolo 104 del presente decreto;</w:t>
      </w:r>
    </w:p>
    <w:p w14:paraId="3D8B923E" w14:textId="77777777" w:rsidR="00E2376D" w:rsidRPr="005504F5" w:rsidRDefault="00E2376D" w:rsidP="00E2376D">
      <w:pPr>
        <w:rPr>
          <w:sz w:val="24"/>
          <w:szCs w:val="24"/>
        </w:rPr>
      </w:pPr>
      <w:r w:rsidRPr="005504F5">
        <w:rPr>
          <w:sz w:val="24"/>
          <w:szCs w:val="24"/>
        </w:rPr>
        <w:t>c) autorizzazione riguardante la disciplina dell’immersione in mare di materiale derivante da attività di escavo e attività di posa in mare di cavi e condotte di cui all’articolo 109 del presente decreto;</w:t>
      </w:r>
    </w:p>
    <w:p w14:paraId="2E761C15" w14:textId="77777777" w:rsidR="00E2376D" w:rsidRPr="005504F5" w:rsidRDefault="00E2376D" w:rsidP="00E2376D">
      <w:pPr>
        <w:rPr>
          <w:sz w:val="24"/>
          <w:szCs w:val="24"/>
        </w:rPr>
      </w:pPr>
      <w:r w:rsidRPr="005504F5">
        <w:rPr>
          <w:sz w:val="24"/>
          <w:szCs w:val="24"/>
        </w:rPr>
        <w:t>d) autorizzazione paesaggistica di cui all’articolo 146 del Codice dei beni culturali e del paesaggio di cui al decreto legislativo 22 gennaio 2004, n. 42;</w:t>
      </w:r>
    </w:p>
    <w:p w14:paraId="04201704" w14:textId="77777777" w:rsidR="00E2376D" w:rsidRPr="005504F5" w:rsidRDefault="00E2376D" w:rsidP="00E2376D">
      <w:pPr>
        <w:rPr>
          <w:sz w:val="24"/>
          <w:szCs w:val="24"/>
        </w:rPr>
      </w:pPr>
      <w:r w:rsidRPr="005504F5">
        <w:rPr>
          <w:sz w:val="24"/>
          <w:szCs w:val="24"/>
        </w:rPr>
        <w:t>e) autorizzazione culturale di cui all’articolo 21 del Codice dei beni culturali e del paesaggio di cui al decreto legislativo 22 gennaio 2004, n. 42;</w:t>
      </w:r>
    </w:p>
    <w:p w14:paraId="5E1FAF92" w14:textId="77777777" w:rsidR="00E2376D" w:rsidRPr="005504F5" w:rsidRDefault="00E2376D" w:rsidP="00E2376D">
      <w:pPr>
        <w:rPr>
          <w:sz w:val="24"/>
          <w:szCs w:val="24"/>
        </w:rPr>
      </w:pPr>
      <w:r w:rsidRPr="005504F5">
        <w:rPr>
          <w:sz w:val="24"/>
          <w:szCs w:val="24"/>
        </w:rPr>
        <w:t>f) autorizzazione riguardante il vincolo idrogeologico di cui al regio decreto 30 dicembre 1923, n. 3267, e al d.P.R. 24 luglio 1977, n. 616;</w:t>
      </w:r>
    </w:p>
    <w:p w14:paraId="009F59F2" w14:textId="77777777" w:rsidR="00E2376D" w:rsidRPr="005504F5" w:rsidRDefault="00E2376D" w:rsidP="00E2376D">
      <w:pPr>
        <w:rPr>
          <w:sz w:val="24"/>
          <w:szCs w:val="24"/>
        </w:rPr>
      </w:pPr>
      <w:r w:rsidRPr="005504F5">
        <w:rPr>
          <w:sz w:val="24"/>
          <w:szCs w:val="24"/>
        </w:rPr>
        <w:t>g) nulla osta di fattibilità di cui all’articolo 17, comma 2, del decreto legislativo 26 giugno 2015, n. 105;</w:t>
      </w:r>
    </w:p>
    <w:p w14:paraId="7C4A4D96" w14:textId="77777777" w:rsidR="00E2376D" w:rsidRPr="005504F5" w:rsidRDefault="00E2376D" w:rsidP="00E2376D">
      <w:pPr>
        <w:rPr>
          <w:sz w:val="24"/>
          <w:szCs w:val="24"/>
        </w:rPr>
      </w:pPr>
      <w:r w:rsidRPr="005504F5">
        <w:rPr>
          <w:sz w:val="24"/>
          <w:szCs w:val="24"/>
        </w:rPr>
        <w:t>h) autorizzazione antisismica di cui all’articolo 94 del d.P.R. 6 giugno 2001, n. 380.</w:t>
      </w:r>
    </w:p>
    <w:p w14:paraId="498F67EF" w14:textId="77777777" w:rsidR="00E2376D" w:rsidRPr="005504F5" w:rsidRDefault="00E2376D" w:rsidP="00E2376D">
      <w:pPr>
        <w:rPr>
          <w:sz w:val="24"/>
          <w:szCs w:val="24"/>
        </w:rPr>
      </w:pPr>
      <w:r w:rsidRPr="005504F5">
        <w:rPr>
          <w:sz w:val="24"/>
          <w:szCs w:val="24"/>
        </w:rPr>
        <w:t>3. Nel caso di cui al comma 2, lettera a), lo studio di impatto ambientale e gli elaborati progettuali contengono anche le informazioni previste ai commi 1, 2 e 3 dell’articolo 29-ter e il provvedimento finale contiene le condizioni e le misure supplementari previste dagli articoli 29-sexies e 29-septies.</w:t>
      </w:r>
    </w:p>
    <w:p w14:paraId="1D93052E" w14:textId="77777777" w:rsidR="00E2376D" w:rsidRPr="005504F5" w:rsidRDefault="00E2376D" w:rsidP="00E2376D">
      <w:pPr>
        <w:rPr>
          <w:sz w:val="24"/>
          <w:szCs w:val="24"/>
        </w:rPr>
      </w:pPr>
      <w:r w:rsidRPr="005504F5">
        <w:rPr>
          <w:sz w:val="24"/>
          <w:szCs w:val="24"/>
        </w:rPr>
        <w:t>4. Entro dieci giorni dalla presentazione dell’istanza l’autorità competente verifica l’avvenuto pagamento del contributo dovuto ai sensi dell’articolo 33, nonché l’eventuale ricorrere della fattispecie di cui all’articolo 32, comma 1, e comunica per via telematica a tutte le amministrazioni competenti al rilascio delle autorizzazioni ambientali di cui al comma 2 richieste dal proponente l’avvenuta pubblicazione della documentazione nel proprio sito web con modalità tali da garantire la tutela della riservatezza di eventuali informazioni industriali o commerciali indicate dal proponente, in conformità a quanto previsto dalla disciplina sull’accesso del pubblico all’informazione ambientale. La medesima comunicazione è effettuata in sede di notifica ad altro Stato ai sensi dell’articolo 32, comma 1.</w:t>
      </w:r>
    </w:p>
    <w:p w14:paraId="2C3A88E2" w14:textId="77777777" w:rsidR="00E2376D" w:rsidRPr="005504F5" w:rsidRDefault="00E2376D" w:rsidP="00E2376D">
      <w:pPr>
        <w:rPr>
          <w:sz w:val="24"/>
          <w:szCs w:val="24"/>
        </w:rPr>
      </w:pPr>
      <w:r w:rsidRPr="005504F5">
        <w:rPr>
          <w:sz w:val="24"/>
          <w:szCs w:val="24"/>
        </w:rPr>
        <w:lastRenderedPageBreak/>
        <w:t>5. Entro trenta giorni dalla pubblicazione della documentazione nel sito web dell’autorità competente, quest’ultima, nonché le amministrazioni e gli enti di cui al comma 4, per i profili di rispettiva competenza, verificano l’adeguatezza e la completezza della documentazione, assegnando al proponente un termine perentorio non superiore a trenta giorni per le eventuali integrazioni.</w:t>
      </w:r>
    </w:p>
    <w:p w14:paraId="5CA21167" w14:textId="77777777" w:rsidR="00E2376D" w:rsidRPr="005504F5" w:rsidRDefault="00E2376D" w:rsidP="00E2376D">
      <w:pPr>
        <w:rPr>
          <w:sz w:val="24"/>
          <w:szCs w:val="24"/>
        </w:rPr>
      </w:pPr>
      <w:r w:rsidRPr="005504F5">
        <w:rPr>
          <w:sz w:val="24"/>
          <w:szCs w:val="24"/>
        </w:rPr>
        <w:t>6. Entro dieci giorni dalla verifica della completezza documentale, ovvero, in caso di richieste di integrazioni, dalla data di ricevimento delle stesse, l’autorità competente pubblica l’avviso di cui all’articolo 23, comma 1, lettera e), di cui è data comunque informazione nell’albo pretorio informatico delle amministrazioni comunali territorialmente interessate. Tale forma di pubblicità tiene luogo delle comunicazioni di cui agli articoli 7 e 8, commi 3 e 4, della legge n. 241 del 1990. Dalla data della pubblicazione della suddetta documentazione, e per la durata di sessanta giorni, il pubblico interessato può presentare osservazioni concernenti la valutazione di impatto ambientale, la valutazione di incidenza ove necessaria e l’autorizzazione integrata ambientale nonché gli altri titoli autorizzativi inclusi nel provvedimento unico ambientale.</w:t>
      </w:r>
    </w:p>
    <w:p w14:paraId="50828B50" w14:textId="77777777" w:rsidR="00E2376D" w:rsidRPr="005504F5" w:rsidRDefault="00E2376D" w:rsidP="00E2376D">
      <w:pPr>
        <w:rPr>
          <w:sz w:val="24"/>
          <w:szCs w:val="24"/>
        </w:rPr>
      </w:pPr>
      <w:r w:rsidRPr="005504F5">
        <w:rPr>
          <w:sz w:val="24"/>
          <w:szCs w:val="24"/>
        </w:rPr>
        <w:t>7. Entro i successivi quindici giorni l’autorità competente indice la conferenza di servizi decisoria di cui all’articolo 14-ter della legge 7 agosto 1990, n. 241, che opera secondo quanto disposto dal comma 8. Contestualmente può chiedere al proponente, anche sulla base di quanto indicato dalla competente direzione generale del Ministero della cultura, eventuali integrazioni assegnando allo stesso un termine perentorio non superiore a quindici giorni. Su richiesta motivata del proponente l’autorità competente può concedere, per una sola volta, la sospensione dei termini per la presentazione della documentazione integrativa per un periodo non superiore a novanta giorni. Qualora entro il termine stabilito il proponente non depositi la documentazione integrativa, l’istanza si intende ritirata ed è fatto obbligo all’autorità competente di procedere all’archiviazione. L’autorità competente procede immediatamente alla pubblicazione delle integrazioni sul sito internet istituzionale e dispone, entro cinque giorni dalla ricezione della documentazione integrativa, che il proponente trasmetta, entro i successivi dieci giorni, un nuovo avviso al pubblico, predisposto in conformità all’articolo 24, comma 2, del presente decreto, da pubblicare a cura della medesima autorità competente sul proprio sito internet e di cui è data comunque informazione nell’albo pretorio informatico delle amministrazioni comunali territorialmente interessate. In relazione alle modifiche o integrazioni apportate al progetto e alla documentazione, i termini di cui al comma 6 per l’ulteriore consultazione del pubblico sono ridotti alla metà.</w:t>
      </w:r>
    </w:p>
    <w:p w14:paraId="3B274F4F" w14:textId="77777777" w:rsidR="00E2376D" w:rsidRPr="005504F5" w:rsidRDefault="00E2376D" w:rsidP="00E2376D">
      <w:pPr>
        <w:rPr>
          <w:sz w:val="24"/>
          <w:szCs w:val="24"/>
        </w:rPr>
      </w:pPr>
      <w:r w:rsidRPr="005504F5">
        <w:rPr>
          <w:sz w:val="24"/>
          <w:szCs w:val="24"/>
        </w:rPr>
        <w:t xml:space="preserve">8. Fatto salvo il rispetto dei termini previsti dall’articolo 32, comma 2, per il caso di consultazioni transfrontaliere, al fine di acquisire il provvedimento di VIA e dei titoli abilitativi in materia ambientale richiesti dal proponente, l’autorità competente convoca nel termine di cui al primo periodo del comma 6, una conferenza di servizi decisoria che opera in modalità simultanea secondo quanto stabilito dall’articolo 14-ter della legge 7 agosto 1990, n. 241. Alla conferenza partecipano il proponente e tutte le amministrazioni competenti o comunque potenzialmente interessate al rilascio del provvedimento di VIA e i titoli abilitativi ambientali richiesti dal proponente. Per i progetti di cui all'articolo 8, comma 2-bis, alla conferenza partecipano in ogni caso il direttore generale del Ministero dell’ambiente e della tutela del territorio e del mare o un suo delegato e il direttore generale del Ministero per i beni e le attività culturali e per il turismo o un suo delegato. La conferenza, nell’ambito della propria attività, prende in considerazione le osservazioni e le informazioni raccolte in sede di consultazione ai sensi dei commi 6 e 7, e conclude i propri lavori nel termine di duecentodieci giorni. La determinazione motivata di conclusione della conferenza di servizi, che costituisce il provvedimento unico in materia ambientale, reca l’indicazione espressa del provvedimento di VIA ed elenca, altresì, i titoli abilitativi compresi nel provvedimento unico. Fatto salvo quanto previsto per i progetti di cui all'articolo 8, comma 2-bis, la decisione di rilasciare i titoli di cui al comma 2 è assunta sulla base del provvedimento di VIA, adottato dal Ministro dell’ambiente e della tutela del territorio e </w:t>
      </w:r>
      <w:r w:rsidRPr="005504F5">
        <w:rPr>
          <w:sz w:val="24"/>
          <w:szCs w:val="24"/>
        </w:rPr>
        <w:lastRenderedPageBreak/>
        <w:t>del mare, di concerto con il Ministro per i beni e le attività culturali e per il turismo, ai sensi dell’articolo 25. I termini previsti dall’articolo 25, comma 2, quarto periodo, sono ridotti alla metà e, in caso di rimessione alla deliberazione del Consiglio dei ministri, la conferenza di servizi è sospesa per il termine di cui all’articolo 25, comma 2, quinto periodo. Tutti i termini del procedimento si considerano perentori ai sensi e per gli effetti di cui agli articoli 2, commi da 9 a 9-quater, e 2-bis della legge n. 241 del 1990.</w:t>
      </w:r>
    </w:p>
    <w:p w14:paraId="6E1A5BF8" w14:textId="77777777" w:rsidR="00E2376D" w:rsidRPr="005504F5" w:rsidRDefault="00E2376D" w:rsidP="00E2376D">
      <w:pPr>
        <w:rPr>
          <w:sz w:val="24"/>
          <w:szCs w:val="24"/>
        </w:rPr>
      </w:pPr>
      <w:r w:rsidRPr="005504F5">
        <w:rPr>
          <w:sz w:val="24"/>
          <w:szCs w:val="24"/>
        </w:rPr>
        <w:t>9. Le condizioni e le misure supplementari relative all’autorizzazione integrata ambientale di cui al comma 2, lettera a), e contenute nel provvedimento unico, sono rinnovate e riesaminate, controllate e sanzionate con le modalità di cui agli articoli 29-octies, 29-decies e 29-quattuordecies. Le condizioni e le misure supplementari relative agli altri titoli abilitativi in materia ambientale di cui al comma 2, sono rinnovate e riesaminate, controllate e sanzionate con le modalità previste dalle relative disposizioni di settore da parte delle amministrazioni competenti per materia.</w:t>
      </w:r>
    </w:p>
    <w:p w14:paraId="66A6E07E" w14:textId="1E985C86" w:rsidR="00203152" w:rsidRPr="005504F5" w:rsidRDefault="00E2376D">
      <w:pPr>
        <w:rPr>
          <w:sz w:val="24"/>
          <w:szCs w:val="24"/>
        </w:rPr>
      </w:pPr>
      <w:r w:rsidRPr="005504F5">
        <w:rPr>
          <w:sz w:val="24"/>
          <w:szCs w:val="24"/>
        </w:rPr>
        <w:t>10. Le disposizioni contenute nel presente articolo si applicano in deroga alle disposizioni che disciplinano i procedimenti riguardanti il solo primo rilascio dei titoli abilitativi in materia ambientale di cui al comma 2.</w:t>
      </w:r>
    </w:p>
    <w:sectPr w:rsidR="00203152" w:rsidRPr="005504F5" w:rsidSect="00BB04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6D"/>
    <w:rsid w:val="00067E12"/>
    <w:rsid w:val="00195EEC"/>
    <w:rsid w:val="001C698F"/>
    <w:rsid w:val="00203152"/>
    <w:rsid w:val="0022566E"/>
    <w:rsid w:val="00255B9C"/>
    <w:rsid w:val="002A571F"/>
    <w:rsid w:val="005504F5"/>
    <w:rsid w:val="00774772"/>
    <w:rsid w:val="00A56076"/>
    <w:rsid w:val="00A652E8"/>
    <w:rsid w:val="00B61908"/>
    <w:rsid w:val="00BB0466"/>
    <w:rsid w:val="00BC3A71"/>
    <w:rsid w:val="00E2376D"/>
    <w:rsid w:val="00F148C2"/>
    <w:rsid w:val="00F7658E"/>
    <w:rsid w:val="00F82D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0CC9"/>
  <w15:chartTrackingRefBased/>
  <w15:docId w15:val="{67224DD7-2243-4BA0-AEEB-881D34DEB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paragraph" w:styleId="Titolo1">
    <w:name w:val="heading 1"/>
    <w:basedOn w:val="Normale"/>
    <w:next w:val="Normale"/>
    <w:link w:val="Titolo1Carattere"/>
    <w:uiPriority w:val="9"/>
    <w:qFormat/>
    <w:rsid w:val="00E23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23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2376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2376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2376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376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376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376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376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376D"/>
    <w:rPr>
      <w:rFonts w:asciiTheme="majorHAnsi" w:eastAsiaTheme="majorEastAsia" w:hAnsiTheme="majorHAnsi" w:cstheme="majorBidi"/>
      <w:noProof/>
      <w:color w:val="0F4761" w:themeColor="accent1" w:themeShade="BF"/>
      <w:sz w:val="40"/>
      <w:szCs w:val="40"/>
    </w:rPr>
  </w:style>
  <w:style w:type="character" w:customStyle="1" w:styleId="Titolo2Carattere">
    <w:name w:val="Titolo 2 Carattere"/>
    <w:basedOn w:val="Carpredefinitoparagrafo"/>
    <w:link w:val="Titolo2"/>
    <w:uiPriority w:val="9"/>
    <w:semiHidden/>
    <w:rsid w:val="00E2376D"/>
    <w:rPr>
      <w:rFonts w:asciiTheme="majorHAnsi" w:eastAsiaTheme="majorEastAsia" w:hAnsiTheme="majorHAnsi" w:cstheme="majorBidi"/>
      <w:noProof/>
      <w:color w:val="0F4761" w:themeColor="accent1" w:themeShade="BF"/>
      <w:sz w:val="32"/>
      <w:szCs w:val="32"/>
    </w:rPr>
  </w:style>
  <w:style w:type="character" w:customStyle="1" w:styleId="Titolo3Carattere">
    <w:name w:val="Titolo 3 Carattere"/>
    <w:basedOn w:val="Carpredefinitoparagrafo"/>
    <w:link w:val="Titolo3"/>
    <w:uiPriority w:val="9"/>
    <w:semiHidden/>
    <w:rsid w:val="00E2376D"/>
    <w:rPr>
      <w:rFonts w:eastAsiaTheme="majorEastAsia" w:cstheme="majorBidi"/>
      <w:noProof/>
      <w:color w:val="0F4761" w:themeColor="accent1" w:themeShade="BF"/>
      <w:sz w:val="28"/>
      <w:szCs w:val="28"/>
    </w:rPr>
  </w:style>
  <w:style w:type="character" w:customStyle="1" w:styleId="Titolo4Carattere">
    <w:name w:val="Titolo 4 Carattere"/>
    <w:basedOn w:val="Carpredefinitoparagrafo"/>
    <w:link w:val="Titolo4"/>
    <w:uiPriority w:val="9"/>
    <w:semiHidden/>
    <w:rsid w:val="00E2376D"/>
    <w:rPr>
      <w:rFonts w:eastAsiaTheme="majorEastAsia" w:cstheme="majorBidi"/>
      <w:i/>
      <w:iCs/>
      <w:noProof/>
      <w:color w:val="0F4761" w:themeColor="accent1" w:themeShade="BF"/>
    </w:rPr>
  </w:style>
  <w:style w:type="character" w:customStyle="1" w:styleId="Titolo5Carattere">
    <w:name w:val="Titolo 5 Carattere"/>
    <w:basedOn w:val="Carpredefinitoparagrafo"/>
    <w:link w:val="Titolo5"/>
    <w:uiPriority w:val="9"/>
    <w:semiHidden/>
    <w:rsid w:val="00E2376D"/>
    <w:rPr>
      <w:rFonts w:eastAsiaTheme="majorEastAsia" w:cstheme="majorBidi"/>
      <w:noProof/>
      <w:color w:val="0F4761" w:themeColor="accent1" w:themeShade="BF"/>
    </w:rPr>
  </w:style>
  <w:style w:type="character" w:customStyle="1" w:styleId="Titolo6Carattere">
    <w:name w:val="Titolo 6 Carattere"/>
    <w:basedOn w:val="Carpredefinitoparagrafo"/>
    <w:link w:val="Titolo6"/>
    <w:uiPriority w:val="9"/>
    <w:semiHidden/>
    <w:rsid w:val="00E2376D"/>
    <w:rPr>
      <w:rFonts w:eastAsiaTheme="majorEastAsia" w:cstheme="majorBidi"/>
      <w:i/>
      <w:iCs/>
      <w:noProof/>
      <w:color w:val="595959" w:themeColor="text1" w:themeTint="A6"/>
    </w:rPr>
  </w:style>
  <w:style w:type="character" w:customStyle="1" w:styleId="Titolo7Carattere">
    <w:name w:val="Titolo 7 Carattere"/>
    <w:basedOn w:val="Carpredefinitoparagrafo"/>
    <w:link w:val="Titolo7"/>
    <w:uiPriority w:val="9"/>
    <w:semiHidden/>
    <w:rsid w:val="00E2376D"/>
    <w:rPr>
      <w:rFonts w:eastAsiaTheme="majorEastAsia" w:cstheme="majorBidi"/>
      <w:noProof/>
      <w:color w:val="595959" w:themeColor="text1" w:themeTint="A6"/>
    </w:rPr>
  </w:style>
  <w:style w:type="character" w:customStyle="1" w:styleId="Titolo8Carattere">
    <w:name w:val="Titolo 8 Carattere"/>
    <w:basedOn w:val="Carpredefinitoparagrafo"/>
    <w:link w:val="Titolo8"/>
    <w:uiPriority w:val="9"/>
    <w:semiHidden/>
    <w:rsid w:val="00E2376D"/>
    <w:rPr>
      <w:rFonts w:eastAsiaTheme="majorEastAsia" w:cstheme="majorBidi"/>
      <w:i/>
      <w:iCs/>
      <w:noProof/>
      <w:color w:val="272727" w:themeColor="text1" w:themeTint="D8"/>
    </w:rPr>
  </w:style>
  <w:style w:type="character" w:customStyle="1" w:styleId="Titolo9Carattere">
    <w:name w:val="Titolo 9 Carattere"/>
    <w:basedOn w:val="Carpredefinitoparagrafo"/>
    <w:link w:val="Titolo9"/>
    <w:uiPriority w:val="9"/>
    <w:semiHidden/>
    <w:rsid w:val="00E2376D"/>
    <w:rPr>
      <w:rFonts w:eastAsiaTheme="majorEastAsia" w:cstheme="majorBidi"/>
      <w:noProof/>
      <w:color w:val="272727" w:themeColor="text1" w:themeTint="D8"/>
    </w:rPr>
  </w:style>
  <w:style w:type="paragraph" w:styleId="Titolo">
    <w:name w:val="Title"/>
    <w:basedOn w:val="Normale"/>
    <w:next w:val="Normale"/>
    <w:link w:val="TitoloCarattere"/>
    <w:uiPriority w:val="10"/>
    <w:qFormat/>
    <w:rsid w:val="00E2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376D"/>
    <w:rPr>
      <w:rFonts w:asciiTheme="majorHAnsi" w:eastAsiaTheme="majorEastAsia" w:hAnsiTheme="majorHAnsi" w:cstheme="majorBidi"/>
      <w:noProof/>
      <w:spacing w:val="-10"/>
      <w:kern w:val="28"/>
      <w:sz w:val="56"/>
      <w:szCs w:val="56"/>
    </w:rPr>
  </w:style>
  <w:style w:type="paragraph" w:styleId="Sottotitolo">
    <w:name w:val="Subtitle"/>
    <w:basedOn w:val="Normale"/>
    <w:next w:val="Normale"/>
    <w:link w:val="SottotitoloCarattere"/>
    <w:uiPriority w:val="11"/>
    <w:qFormat/>
    <w:rsid w:val="00E2376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376D"/>
    <w:rPr>
      <w:rFonts w:eastAsiaTheme="majorEastAsia" w:cstheme="majorBidi"/>
      <w:noProof/>
      <w:color w:val="595959" w:themeColor="text1" w:themeTint="A6"/>
      <w:spacing w:val="15"/>
      <w:sz w:val="28"/>
      <w:szCs w:val="28"/>
    </w:rPr>
  </w:style>
  <w:style w:type="paragraph" w:styleId="Citazione">
    <w:name w:val="Quote"/>
    <w:basedOn w:val="Normale"/>
    <w:next w:val="Normale"/>
    <w:link w:val="CitazioneCarattere"/>
    <w:uiPriority w:val="29"/>
    <w:qFormat/>
    <w:rsid w:val="00E2376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376D"/>
    <w:rPr>
      <w:i/>
      <w:iCs/>
      <w:noProof/>
      <w:color w:val="404040" w:themeColor="text1" w:themeTint="BF"/>
    </w:rPr>
  </w:style>
  <w:style w:type="paragraph" w:styleId="Paragrafoelenco">
    <w:name w:val="List Paragraph"/>
    <w:basedOn w:val="Normale"/>
    <w:uiPriority w:val="34"/>
    <w:qFormat/>
    <w:rsid w:val="00E2376D"/>
    <w:pPr>
      <w:ind w:left="720"/>
      <w:contextualSpacing/>
    </w:pPr>
  </w:style>
  <w:style w:type="character" w:styleId="Enfasiintensa">
    <w:name w:val="Intense Emphasis"/>
    <w:basedOn w:val="Carpredefinitoparagrafo"/>
    <w:uiPriority w:val="21"/>
    <w:qFormat/>
    <w:rsid w:val="00E2376D"/>
    <w:rPr>
      <w:i/>
      <w:iCs/>
      <w:color w:val="0F4761" w:themeColor="accent1" w:themeShade="BF"/>
    </w:rPr>
  </w:style>
  <w:style w:type="paragraph" w:styleId="Citazioneintensa">
    <w:name w:val="Intense Quote"/>
    <w:basedOn w:val="Normale"/>
    <w:next w:val="Normale"/>
    <w:link w:val="CitazioneintensaCarattere"/>
    <w:uiPriority w:val="30"/>
    <w:qFormat/>
    <w:rsid w:val="00E23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2376D"/>
    <w:rPr>
      <w:i/>
      <w:iCs/>
      <w:noProof/>
      <w:color w:val="0F4761" w:themeColor="accent1" w:themeShade="BF"/>
    </w:rPr>
  </w:style>
  <w:style w:type="character" w:styleId="Riferimentointenso">
    <w:name w:val="Intense Reference"/>
    <w:basedOn w:val="Carpredefinitoparagrafo"/>
    <w:uiPriority w:val="32"/>
    <w:qFormat/>
    <w:rsid w:val="00E23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1437</Words>
  <Characters>8191</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6</cp:revision>
  <cp:lastPrinted>2025-03-14T10:36:00Z</cp:lastPrinted>
  <dcterms:created xsi:type="dcterms:W3CDTF">2025-03-13T02:18:00Z</dcterms:created>
  <dcterms:modified xsi:type="dcterms:W3CDTF">2025-09-22T10:49:00Z</dcterms:modified>
</cp:coreProperties>
</file>