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SBF14Tc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7 09:43:44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SBF14Tc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XGBoostGBMModel to predict</w:t>
      </w:r>
      <w:r w:rsidR="004D096A">
        <w:t xml:space="preserve"> </w:t>
      </w:r>
      <w:r w:rsidRPr="004D096A">
        <w:rPr>
          <w:i/>
          <w:iCs/>
        </w:rPr>
        <w:t>SBF14T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1 hours and 15 minutes (1:15:12), using 13 of the 31 original features, and 7 of the 7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./tmp/dbfb4660-c020-11ea-ac84-0242ac1c0002/rend_cumulative_train.csv.1594105795.3892355.bin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./tmp/db8d9962-c020-11ea-ac84-0242ac1c0002/rend_cumulative_test.csv.1594105794.6280105.bin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0.795).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0.772).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0.755).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763574"/>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0.807).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0.834).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0.814).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0.819).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0.773).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0.821).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0.883).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9"/>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0.912).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0.899).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0.871).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0.912).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5"/>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0.969).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6"/>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0.671).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0.838).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2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0.823).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2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0.846).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3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0.91).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3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&lt;&lt;&lt;MXPC rlcy&gt;&gt;&gt; (AUC: 0.8).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PC rlcy_training_test.png"/>
                    <pic:cNvPicPr/>
                  </pic:nvPicPr>
                  <pic:blipFill>
                    <a:blip r:embed="rId32"/>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MXPC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3"/>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7</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667</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h2oai_experiment_c4aa5054-c02b-11ea-ac84-0242ac1c0002/mojo_pipeline/mojo.zip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h2oai_experiment_c4aa5054-c02b-11ea-ac84-0242ac1c0002/scoring_pipeline/scorer.zip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7.83</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782.31</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3,439.47</w:t>
            </w:r>
          </w:p>
        </w:tc>
        <w:tc>
          <w:tcPr>
            <w:tcW w:w="4042" w:type="dxa"/>
          </w:tcPr>
          <w:p w14:paraId="2054E95A" w14:textId="712489AE" w:rsidR="00CE79A2" w:rsidRPr="000E3043" w:rsidRDefault="00CE79A2" w:rsidP="00CE79A2">
            <w:pPr>
              <w:pStyle w:val="BodyText"/>
            </w:pPr>
            <w:r w:rsidRPr="006D6E9A">
              <w:t>667</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217.80</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0.0012 </w:t>
            </w:r>
          </w:p>
        </w:tc>
        <w:tc>
          <w:tcPr>
            <w:tcW w:w="2463" w:type="dxa"/>
          </w:tcPr>
          <w:p w14:paraId="2D970472" w14:textId="77777777" w:rsidR="002A6414" w:rsidRPr="000E3043" w:rsidRDefault="002A6414" w:rsidP="00590BE1">
            <w:pPr>
              <w:pStyle w:val="BodyText"/>
            </w:pPr>
            <w:r w:rsidRPr="000E3043">
              <w:t>4.9383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60 </w:t>
            </w:r>
          </w:p>
        </w:tc>
        <w:tc>
          <w:tcPr>
            <w:tcW w:w="2463" w:type="dxa"/>
          </w:tcPr>
          <w:p w14:paraId="2D970472" w14:textId="77777777" w:rsidR="002A6414" w:rsidRPr="000E3043" w:rsidRDefault="002A6414" w:rsidP="00590BE1">
            <w:pPr>
              <w:pStyle w:val="BodyText"/>
            </w:pPr>
            <w:r w:rsidRPr="000E3043">
              <w:t>0.0012 </w:t>
            </w:r>
          </w:p>
        </w:tc>
        <w:tc>
          <w:tcPr>
            <w:tcW w:w="2463" w:type="dxa"/>
          </w:tcPr>
          <w:p w14:paraId="2D970472" w14:textId="77777777" w:rsidR="002A6414" w:rsidRPr="000E3043" w:rsidRDefault="002A6414" w:rsidP="00590BE1">
            <w:pPr>
              <w:pStyle w:val="BodyText"/>
            </w:pPr>
            <w:r w:rsidRPr="000E3043">
              <w:t>13.3432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60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8.0023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54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11.2133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60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6.8582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54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9.9059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95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12.3534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6.4857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5.7481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54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6.3179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0.0087 </w:t>
            </w:r>
          </w:p>
        </w:tc>
        <w:tc>
          <w:tcPr>
            <w:tcW w:w="2463" w:type="dxa"/>
          </w:tcPr>
          <w:p w14:paraId="6F3D93A9" w14:textId="77777777" w:rsidR="002A6414" w:rsidRPr="000E3043" w:rsidRDefault="002A6414" w:rsidP="00590BE1">
            <w:pPr>
              <w:pStyle w:val="BodyText"/>
            </w:pPr>
            <w:r w:rsidRPr="000E3043">
              <w:t>0.8907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124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29.835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93 </w:t>
            </w:r>
          </w:p>
        </w:tc>
        <w:tc>
          <w:tcPr>
            <w:tcW w:w="2463" w:type="dxa"/>
          </w:tcPr>
          <w:p w14:paraId="6F3D93A9" w14:textId="77777777" w:rsidR="002A6414" w:rsidRPr="000E3043" w:rsidRDefault="002A6414" w:rsidP="00590BE1">
            <w:pPr>
              <w:pStyle w:val="BodyText"/>
            </w:pPr>
            <w:r w:rsidRPr="000E3043">
              <w:t>0.0012 </w:t>
            </w:r>
          </w:p>
        </w:tc>
        <w:tc>
          <w:tcPr>
            <w:tcW w:w="2463" w:type="dxa"/>
          </w:tcPr>
          <w:p w14:paraId="6F3D93A9" w14:textId="77777777" w:rsidR="002A6414" w:rsidRPr="000E3043" w:rsidRDefault="002A6414" w:rsidP="00590BE1">
            <w:pPr>
              <w:pStyle w:val="BodyText"/>
            </w:pPr>
            <w:r w:rsidRPr="000E3043">
              <w:t>11.0477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9.4033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75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66.7395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7.8752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122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11.4456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160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19.6424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175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28.2988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115 </w:t>
            </w:r>
          </w:p>
        </w:tc>
        <w:tc>
          <w:tcPr>
            <w:tcW w:w="2463" w:type="dxa"/>
          </w:tcPr>
          <w:p w14:paraId="6F3D93A9" w14:textId="77777777" w:rsidR="002A6414" w:rsidRPr="000E3043" w:rsidRDefault="002A6414" w:rsidP="00590BE1">
            <w:pPr>
              <w:pStyle w:val="BodyText"/>
            </w:pPr>
            <w:r w:rsidRPr="000E3043">
              <w:t>0.0012 </w:t>
            </w:r>
          </w:p>
        </w:tc>
        <w:tc>
          <w:tcPr>
            <w:tcW w:w="2463" w:type="dxa"/>
          </w:tcPr>
          <w:p w14:paraId="6F3D93A9" w14:textId="77777777" w:rsidR="002A6414" w:rsidRPr="000E3043" w:rsidRDefault="002A6414" w:rsidP="00590BE1">
            <w:pPr>
              <w:pStyle w:val="BodyText"/>
            </w:pPr>
            <w:r w:rsidRPr="000E3043">
              <w:t>16.5168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0.0012 </w:t>
            </w:r>
          </w:p>
        </w:tc>
        <w:tc>
          <w:tcPr>
            <w:tcW w:w="2463" w:type="dxa"/>
          </w:tcPr>
          <w:p w14:paraId="6F3D93A9" w14:textId="77777777" w:rsidR="002A6414" w:rsidRPr="000E3043" w:rsidRDefault="002A6414" w:rsidP="00590BE1">
            <w:pPr>
              <w:pStyle w:val="BodyText"/>
            </w:pPr>
            <w:r w:rsidRPr="000E3043">
              <w:t>4.9383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0.0012 </w:t>
            </w:r>
          </w:p>
        </w:tc>
        <w:tc>
          <w:tcPr>
            <w:tcW w:w="2463" w:type="dxa"/>
          </w:tcPr>
          <w:p w14:paraId="6F3D93A9" w14:textId="77777777" w:rsidR="002A6414" w:rsidRPr="000E3043" w:rsidRDefault="002A6414" w:rsidP="00590BE1">
            <w:pPr>
              <w:pStyle w:val="BodyText"/>
            </w:pPr>
            <w:r w:rsidRPr="000E3043">
              <w:t>13.3432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8.0023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54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11.2133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6.8582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54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9.9059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95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12.3534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6.4857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5.7481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54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6.3179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(667)</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4"/>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0.491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0.458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29_UC00 rlcy </w:t>
            </w:r>
          </w:p>
        </w:tc>
        <w:tc>
          <w:tcPr>
            <w:tcW w:w="2463" w:type="dxa"/>
          </w:tcPr>
          <w:p w14:paraId="67B4AFDD" w14:textId="77777777" w:rsidR="006A52EC" w:rsidRPr="000E3043" w:rsidRDefault="006A52EC" w:rsidP="00294DBB">
            <w:pPr>
              <w:pStyle w:val="BodyText"/>
            </w:pPr>
            <w:r w:rsidRPr="000E3043">
              <w:t>UC00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0.1794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18_JPMGEMLC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0.0789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89_EWMA(0.05)(0)Lags: dprezzo.65: 66: 67: 68: 69: 70: 71: 72: 73: 74: 75: 76: 77: 78: 79: 1899: 1900: 1901: 1902: 1903: 1904: 1905: 1906JPCAEU3M rlcy. </w:t>
            </w:r>
          </w:p>
        </w:tc>
        <w:tc>
          <w:tcPr>
            <w:tcW w:w="2463" w:type="dxa"/>
          </w:tcPr>
          <w:p w14:paraId="67B4AFDD" w14:textId="77777777" w:rsidR="006A52EC" w:rsidRPr="000E3043" w:rsidRDefault="006A52EC" w:rsidP="00294DBB">
            <w:pPr>
              <w:pStyle w:val="BodyText"/>
            </w:pPr>
            <w:r w:rsidRPr="000E3043">
              <w:t>EWMA (α = 0.05) of lags [65, 66, 67, 68, 69, 70, 71, 72, 73, 74, 75, 76, 77, 78, 79, 1899, 1900, 1901, 1902, 1903, 1904, 1905, 1906] of feature JPCAEU3M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0.064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0.0475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20_LIQUIDITY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0.0356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30_dprezzo~get_dayofyear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0.0301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92_EWMA(0.05)(0)TargetLags: dprezzo.70: 77: 84: 91: 98: 105: 112: 119: 126: 133: 140: 147: 154: 161: 168: 175: 182: 189: 196: 203: 210: 217: 224 </w:t>
            </w:r>
          </w:p>
        </w:tc>
        <w:tc>
          <w:tcPr>
            <w:tcW w:w="2463" w:type="dxa"/>
          </w:tcPr>
          <w:p w14:paraId="67B4AFDD" w14:textId="77777777" w:rsidR="006A52EC" w:rsidRPr="000E3043" w:rsidRDefault="006A52EC" w:rsidP="00294DBB">
            <w:pPr>
              <w:pStyle w:val="BodyText"/>
            </w:pPr>
            <w:r w:rsidRPr="000E3043">
              <w:t>EWMA (α = 0.05) of target lags [70, 77, 84, 91, 98, 105, 112, 119, 126, 133, 140, 147, 154, 161, 168, 175, 182, 189, 196, 203, 210, 217,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0.0281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98_EWMA(0.05)(0)Lags: dprezzo.70: 77: 84: 91: 98: 105: 112JPMGEMLC rlcy. </w:t>
            </w:r>
          </w:p>
        </w:tc>
        <w:tc>
          <w:tcPr>
            <w:tcW w:w="2463" w:type="dxa"/>
          </w:tcPr>
          <w:p w14:paraId="67B4AFDD" w14:textId="77777777" w:rsidR="006A52EC" w:rsidRPr="000E3043" w:rsidRDefault="006A52EC" w:rsidP="00294DBB">
            <w:pPr>
              <w:pStyle w:val="BodyText"/>
            </w:pPr>
            <w:r w:rsidRPr="000E3043">
              <w:t>EWMA (α = 0.05) of lags [70, 77, 84, 91, 98, 105, 112] of feature JPMGEMLC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0.0231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0.0216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30_dprezzo~get_week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0.0203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104_EWMA(0.05)(0)Lags: dprezzo.70: 84: 98: 112UC00 rlcy. </w:t>
            </w:r>
          </w:p>
        </w:tc>
        <w:tc>
          <w:tcPr>
            <w:tcW w:w="2463" w:type="dxa"/>
          </w:tcPr>
          <w:p w14:paraId="67B4AFDD" w14:textId="77777777" w:rsidR="006A52EC" w:rsidRPr="000E3043" w:rsidRDefault="006A52EC" w:rsidP="00294DBB">
            <w:pPr>
              <w:pStyle w:val="BodyText"/>
            </w:pPr>
            <w:r w:rsidRPr="000E3043">
              <w:t>EWMA (α = 0.05) of lags [70, 84, 98, 112] of feature UC00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0.0191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56_TargetLagsStd: dprezzo.65: 66: 67: 68: 69: 70: 71: 72: 73: 74: 75: 76: 77: 78: 79: 1899: 1900: 1901: 1902: 1903: 1904: 1905: 1906 </w:t>
            </w:r>
          </w:p>
        </w:tc>
        <w:tc>
          <w:tcPr>
            <w:tcW w:w="2463" w:type="dxa"/>
          </w:tcPr>
          <w:p w14:paraId="67B4AFDD" w14:textId="77777777" w:rsidR="006A52EC" w:rsidRPr="000E3043" w:rsidRDefault="006A52EC" w:rsidP="00294DBB">
            <w:pPr>
              <w:pStyle w:val="BodyText"/>
            </w:pPr>
            <w:r w:rsidRPr="000E3043">
              <w:t>Std of target lags [65, 66, 67, 68, 69, 70, 71, 72, 73, 74, 75, 76, 77, 78, 79, 1899, 1900, 1901, 1902, 1903, 1904, 1905, 1906]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0.0114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XGBoostGBMModel pipeline with ensemble_level=0 transforming 14 original features -&gt; 20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XGBoostGBMModel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20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128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0.9291256 </w:t>
            </w:r>
          </w:p>
        </w:tc>
        <w:tc>
          <w:tcPr>
            <w:tcW w:w="2463" w:type="dxa"/>
          </w:tcPr>
          <w:p w14:paraId="2EBDDA70" w14:textId="77777777" w:rsidR="004C36DA" w:rsidRPr="000E3043" w:rsidRDefault="004C36DA" w:rsidP="00BF5492">
            <w:pPr>
              <w:pStyle w:val="BodyText"/>
            </w:pPr>
            <w:r w:rsidRPr="000E3043">
              <w:t>0.005901737 </w:t>
            </w:r>
          </w:p>
        </w:tc>
        <w:tc>
          <w:tcPr>
            <w:tcW w:w="2463" w:type="dxa"/>
          </w:tcPr>
          <w:p w14:paraId="2EBDDA70" w14:textId="77777777" w:rsidR="004C36DA" w:rsidRPr="000E3043" w:rsidRDefault="004C36DA" w:rsidP="00BF5492">
            <w:pPr>
              <w:pStyle w:val="BodyText"/>
            </w:pPr>
            <w:r w:rsidRPr="000E3043">
              <w:t>0.9658384 </w:t>
            </w:r>
          </w:p>
        </w:tc>
        <w:tc>
          <w:tcPr>
            <w:tcW w:w="2463" w:type="dxa"/>
          </w:tcPr>
          <w:p w14:paraId="2EBDDA70" w14:textId="77777777" w:rsidR="004C36DA" w:rsidRPr="000E3043" w:rsidRDefault="004C36DA" w:rsidP="00BF5492">
            <w:pPr>
              <w:pStyle w:val="BodyText"/>
            </w:pPr>
            <w:r w:rsidRPr="000E3043">
              <w:t>0.009257761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0.0009843849 </w:t>
            </w:r>
          </w:p>
        </w:tc>
        <w:tc>
          <w:tcPr>
            <w:tcW w:w="2463" w:type="dxa"/>
          </w:tcPr>
          <w:p w14:paraId="2EBDDA70" w14:textId="77777777" w:rsidR="004C36DA" w:rsidRPr="000E3043" w:rsidRDefault="004C36DA" w:rsidP="00BF5492">
            <w:pPr>
              <w:pStyle w:val="BodyText"/>
            </w:pPr>
            <w:r w:rsidRPr="000E3043">
              <w:t>3.295869e-05 </w:t>
            </w:r>
          </w:p>
        </w:tc>
        <w:tc>
          <w:tcPr>
            <w:tcW w:w="2463" w:type="dxa"/>
          </w:tcPr>
          <w:p w14:paraId="2EBDDA70" w14:textId="77777777" w:rsidR="004C36DA" w:rsidRPr="000E3043" w:rsidRDefault="004C36DA" w:rsidP="00BF5492">
            <w:pPr>
              <w:pStyle w:val="BodyText"/>
            </w:pPr>
            <w:r w:rsidRPr="000E3043">
              <w:t>0.002027532 </w:t>
            </w:r>
          </w:p>
        </w:tc>
        <w:tc>
          <w:tcPr>
            <w:tcW w:w="2463" w:type="dxa"/>
          </w:tcPr>
          <w:p w14:paraId="2EBDDA70" w14:textId="77777777" w:rsidR="004C36DA" w:rsidRPr="000E3043" w:rsidRDefault="004C36DA" w:rsidP="00BF5492">
            <w:pPr>
              <w:pStyle w:val="BodyText"/>
            </w:pPr>
            <w:r w:rsidRPr="000E3043">
              <w:t>0.0001729957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1285.536 </w:t>
            </w:r>
          </w:p>
        </w:tc>
        <w:tc>
          <w:tcPr>
            <w:tcW w:w="2463" w:type="dxa"/>
          </w:tcPr>
          <w:p w14:paraId="2EBDDA70" w14:textId="77777777" w:rsidR="004C36DA" w:rsidRPr="000E3043" w:rsidRDefault="004C36DA" w:rsidP="00BF5492">
            <w:pPr>
              <w:pStyle w:val="BodyText"/>
            </w:pPr>
            <w:r w:rsidRPr="000E3043">
              <w:t>959.5094 </w:t>
            </w:r>
          </w:p>
        </w:tc>
        <w:tc>
          <w:tcPr>
            <w:tcW w:w="2463" w:type="dxa"/>
          </w:tcPr>
          <w:p w14:paraId="2EBDDA70" w14:textId="77777777" w:rsidR="004C36DA" w:rsidRPr="000E3043" w:rsidRDefault="004C36DA" w:rsidP="00BF5492">
            <w:pPr>
              <w:pStyle w:val="BodyText"/>
            </w:pPr>
            <w:r w:rsidRPr="000E3043">
              <w:t>65.41785 </w:t>
            </w:r>
          </w:p>
        </w:tc>
        <w:tc>
          <w:tcPr>
            <w:tcW w:w="2463" w:type="dxa"/>
          </w:tcPr>
          <w:p w14:paraId="2EBDDA70" w14:textId="77777777" w:rsidR="004C36DA" w:rsidRPr="000E3043" w:rsidRDefault="004C36DA" w:rsidP="00BF5492">
            <w:pPr>
              <w:pStyle w:val="BodyText"/>
            </w:pPr>
            <w:r w:rsidRPr="000E3043">
              <w:t>17.2637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34.9183 </w:t>
            </w:r>
          </w:p>
        </w:tc>
        <w:tc>
          <w:tcPr>
            <w:tcW w:w="2463" w:type="dxa"/>
          </w:tcPr>
          <w:p w14:paraId="2EBDDA70" w14:textId="77777777" w:rsidR="004C36DA" w:rsidRPr="000E3043" w:rsidRDefault="004C36DA" w:rsidP="00BF5492">
            <w:pPr>
              <w:pStyle w:val="BodyText"/>
            </w:pPr>
            <w:r w:rsidRPr="000E3043">
              <w:t>2.209776 </w:t>
            </w:r>
          </w:p>
        </w:tc>
        <w:tc>
          <w:tcPr>
            <w:tcW w:w="2463" w:type="dxa"/>
          </w:tcPr>
          <w:p w14:paraId="2EBDDA70" w14:textId="77777777" w:rsidR="004C36DA" w:rsidRPr="000E3043" w:rsidRDefault="004C36DA" w:rsidP="00BF5492">
            <w:pPr>
              <w:pStyle w:val="BodyText"/>
            </w:pPr>
            <w:r w:rsidRPr="000E3043">
              <w:t>31.24598 </w:t>
            </w:r>
          </w:p>
        </w:tc>
        <w:tc>
          <w:tcPr>
            <w:tcW w:w="2463" w:type="dxa"/>
          </w:tcPr>
          <w:p w14:paraId="2EBDDA70" w14:textId="77777777" w:rsidR="004C36DA" w:rsidRPr="000E3043" w:rsidRDefault="004C36DA" w:rsidP="00BF5492">
            <w:pPr>
              <w:pStyle w:val="BodyText"/>
            </w:pPr>
            <w:r w:rsidRPr="000E3043">
              <w:t>3.829143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1.604722e-06 </w:t>
            </w:r>
          </w:p>
        </w:tc>
        <w:tc>
          <w:tcPr>
            <w:tcW w:w="2463" w:type="dxa"/>
          </w:tcPr>
          <w:p w14:paraId="2EBDDA70" w14:textId="77777777" w:rsidR="004C36DA" w:rsidRPr="000E3043" w:rsidRDefault="004C36DA" w:rsidP="00BF5492">
            <w:pPr>
              <w:pStyle w:val="BodyText"/>
            </w:pPr>
            <w:r w:rsidRPr="000E3043">
              <w:t>9.968558e-08 </w:t>
            </w:r>
          </w:p>
        </w:tc>
        <w:tc>
          <w:tcPr>
            <w:tcW w:w="2463" w:type="dxa"/>
          </w:tcPr>
          <w:p w14:paraId="2EBDDA70" w14:textId="77777777" w:rsidR="004C36DA" w:rsidRPr="000E3043" w:rsidRDefault="004C36DA" w:rsidP="00BF5492">
            <w:pPr>
              <w:pStyle w:val="BodyText"/>
            </w:pPr>
            <w:r w:rsidRPr="000E3043">
              <w:t>6.221894e-06 </w:t>
            </w:r>
          </w:p>
        </w:tc>
        <w:tc>
          <w:tcPr>
            <w:tcW w:w="2463" w:type="dxa"/>
          </w:tcPr>
          <w:p w14:paraId="2EBDDA70" w14:textId="77777777" w:rsidR="004C36DA" w:rsidRPr="000E3043" w:rsidRDefault="004C36DA" w:rsidP="00BF5492">
            <w:pPr>
              <w:pStyle w:val="BodyText"/>
            </w:pPr>
            <w:r w:rsidRPr="000E3043">
              <w:t>8.495958e-07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0.8635166 </w:t>
            </w:r>
          </w:p>
        </w:tc>
        <w:tc>
          <w:tcPr>
            <w:tcW w:w="2463" w:type="dxa"/>
          </w:tcPr>
          <w:p w14:paraId="2EBDDA70" w14:textId="77777777" w:rsidR="004C36DA" w:rsidRPr="000E3043" w:rsidRDefault="004C36DA" w:rsidP="00BF5492">
            <w:pPr>
              <w:pStyle w:val="BodyText"/>
            </w:pPr>
            <w:r w:rsidRPr="000E3043">
              <w:t>0.01104642 </w:t>
            </w:r>
          </w:p>
        </w:tc>
        <w:tc>
          <w:tcPr>
            <w:tcW w:w="2463" w:type="dxa"/>
          </w:tcPr>
          <w:p w14:paraId="2EBDDA70" w14:textId="77777777" w:rsidR="004C36DA" w:rsidRPr="000E3043" w:rsidRDefault="004C36DA" w:rsidP="00BF5492">
            <w:pPr>
              <w:pStyle w:val="BodyText"/>
            </w:pPr>
            <w:r w:rsidRPr="000E3043">
              <w:t>0.8782759 </w:t>
            </w:r>
          </w:p>
        </w:tc>
        <w:tc>
          <w:tcPr>
            <w:tcW w:w="2463" w:type="dxa"/>
          </w:tcPr>
          <w:p w14:paraId="2EBDDA70" w14:textId="77777777" w:rsidR="004C36DA" w:rsidRPr="000E3043" w:rsidRDefault="004C36DA" w:rsidP="00BF5492">
            <w:pPr>
              <w:pStyle w:val="BodyText"/>
            </w:pPr>
            <w:r w:rsidRPr="000E3043">
              <w:t>0.02468505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0.001266776 </w:t>
            </w:r>
          </w:p>
        </w:tc>
        <w:tc>
          <w:tcPr>
            <w:tcW w:w="2463" w:type="dxa"/>
          </w:tcPr>
          <w:p w14:paraId="2EBDDA70" w14:textId="77777777" w:rsidR="004C36DA" w:rsidRPr="000E3043" w:rsidRDefault="004C36DA" w:rsidP="00BF5492">
            <w:pPr>
              <w:pStyle w:val="BodyText"/>
            </w:pPr>
            <w:r w:rsidRPr="000E3043">
              <w:t>3.91615e-05 </w:t>
            </w:r>
          </w:p>
        </w:tc>
        <w:tc>
          <w:tcPr>
            <w:tcW w:w="2463" w:type="dxa"/>
          </w:tcPr>
          <w:p w14:paraId="2EBDDA70" w14:textId="77777777" w:rsidR="004C36DA" w:rsidRPr="000E3043" w:rsidRDefault="004C36DA" w:rsidP="00BF5492">
            <w:pPr>
              <w:pStyle w:val="BodyText"/>
            </w:pPr>
            <w:r w:rsidRPr="000E3043">
              <w:t>0.002494372 </w:t>
            </w:r>
          </w:p>
        </w:tc>
        <w:tc>
          <w:tcPr>
            <w:tcW w:w="2463" w:type="dxa"/>
          </w:tcPr>
          <w:p w14:paraId="2EBDDA70" w14:textId="77777777" w:rsidR="004C36DA" w:rsidRPr="000E3043" w:rsidRDefault="004C36DA" w:rsidP="00BF5492">
            <w:pPr>
              <w:pStyle w:val="BodyText"/>
            </w:pPr>
            <w:r w:rsidRPr="000E3043">
              <w:t>0.000173892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19559.34 </w:t>
            </w:r>
          </w:p>
        </w:tc>
        <w:tc>
          <w:tcPr>
            <w:tcW w:w="2463" w:type="dxa"/>
          </w:tcPr>
          <w:p w14:paraId="2EBDDA70" w14:textId="77777777" w:rsidR="004C36DA" w:rsidRPr="000E3043" w:rsidRDefault="004C36DA" w:rsidP="00BF5492">
            <w:pPr>
              <w:pStyle w:val="BodyText"/>
            </w:pPr>
            <w:r w:rsidRPr="000E3043">
              <w:t>9828.941 </w:t>
            </w:r>
          </w:p>
        </w:tc>
        <w:tc>
          <w:tcPr>
            <w:tcW w:w="2463" w:type="dxa"/>
          </w:tcPr>
          <w:p w14:paraId="2EBDDA70" w14:textId="77777777" w:rsidR="004C36DA" w:rsidRPr="000E3043" w:rsidRDefault="004C36DA" w:rsidP="00BF5492">
            <w:pPr>
              <w:pStyle w:val="BodyText"/>
            </w:pPr>
            <w:r w:rsidRPr="000E3043">
              <w:t>155.5531 </w:t>
            </w:r>
          </w:p>
        </w:tc>
        <w:tc>
          <w:tcPr>
            <w:tcW w:w="2463" w:type="dxa"/>
          </w:tcPr>
          <w:p w14:paraId="2EBDDA70" w14:textId="77777777" w:rsidR="004C36DA" w:rsidRPr="000E3043" w:rsidRDefault="004C36DA" w:rsidP="00BF5492">
            <w:pPr>
              <w:pStyle w:val="BodyText"/>
            </w:pPr>
            <w:r w:rsidRPr="000E3043">
              <w:t>48.38834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62.77999 </w:t>
            </w:r>
          </w:p>
        </w:tc>
        <w:tc>
          <w:tcPr>
            <w:tcW w:w="2463" w:type="dxa"/>
          </w:tcPr>
          <w:p w14:paraId="2EBDDA70" w14:textId="77777777" w:rsidR="004C36DA" w:rsidRPr="000E3043" w:rsidRDefault="004C36DA" w:rsidP="00BF5492">
            <w:pPr>
              <w:pStyle w:val="BodyText"/>
            </w:pPr>
            <w:r w:rsidRPr="000E3043">
              <w:t>2.252566 </w:t>
            </w:r>
          </w:p>
        </w:tc>
        <w:tc>
          <w:tcPr>
            <w:tcW w:w="2463" w:type="dxa"/>
          </w:tcPr>
          <w:p w14:paraId="2EBDDA70" w14:textId="77777777" w:rsidR="004C36DA" w:rsidRPr="000E3043" w:rsidRDefault="004C36DA" w:rsidP="00BF5492">
            <w:pPr>
              <w:pStyle w:val="BodyText"/>
            </w:pPr>
            <w:r w:rsidRPr="000E3043">
              <w:t>49.30823 </w:t>
            </w:r>
          </w:p>
        </w:tc>
        <w:tc>
          <w:tcPr>
            <w:tcW w:w="2463" w:type="dxa"/>
          </w:tcPr>
          <w:p w14:paraId="2EBDDA70" w14:textId="77777777" w:rsidR="004C36DA" w:rsidRPr="000E3043" w:rsidRDefault="004C36DA" w:rsidP="00BF5492">
            <w:pPr>
              <w:pStyle w:val="BodyText"/>
            </w:pPr>
            <w:r w:rsidRPr="000E3043">
              <w:t>6.425707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6"/>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67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h2oai_experiment_c4aa5054-c02b-11ea-ac84-0242ac1c0002/scoring_pipeline/scorer.zip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h2oai_experiment_c4aa5054-c02b-11ea-ac84-0242ac1c0002/mojo_pipeline/mojo.zip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ER00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R00_rlcy.png"/>
                    <pic:cNvPicPr/>
                  </pic:nvPicPr>
                  <pic:blipFill>
                    <a:blip r:embed="rId3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BOND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mean.png"/>
                    <pic:cNvPicPr/>
                  </pic:nvPicPr>
                  <pic:blipFill>
                    <a:blip r:embed="rId3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XGBoostGBMModel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20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base_score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385092.15625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gbtree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debug_verbose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128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XGBoostGBMModel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392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973899896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973899896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SBF14T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c4aa5054-c02b-11ea-ac84-0242ac1c0002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./tmp/h2oai_experiment_c4aa5054-c02b-11ea-ac84-0242ac1c0002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