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JPCAEU3M</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Fri Jul 10 11:07:19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JPCAEU3M</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JPCAEU3M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8 minutes and 37 seconds (0:08:37), using 3 of the 31 original features, and 5 of the 5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./tmp/65c30358-c286-11ea-8620-0242ac1c0002/rend_train.csv.1594369307.991171.bin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./tmp/64d5cfca-c286-11ea-8620-0242ac1c0002/rend_test.csv.1594369306.4273877.bin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0.632).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0.576).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0.642).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0.552).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0.573).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0.627).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5"/>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0.554).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0.557).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0.698).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8"/>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0.835).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0"/>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0.789).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0.747).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0.89).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3"/>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0.554).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0.646).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6"/>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lightgbm and constant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9</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5</w:t>
      </w:r>
      <w:r w:rsidRPr="000E3043">
        <w:t xml:space="preserve"> features over </w:t>
      </w:r>
      <w:r w:rsidRPr="00185949">
        <w:rPr>
          <w:b/>
          <w:bCs/>
        </w:rPr>
        <w:t>37</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27</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h2oai_experiment_42870f90-c29c-11ea-8620-0242ac1c0002/mojo_pipeline/mojo.zip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h2oai_experiment_42870f90-c29c-11ea-8620-0242ac1c0002/scoring_pipeline/scorer.zip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7.77</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137.72</w:t>
            </w:r>
          </w:p>
        </w:tc>
        <w:tc>
          <w:tcPr>
            <w:tcW w:w="4042" w:type="dxa"/>
          </w:tcPr>
          <w:p w14:paraId="33ED2E9F" w14:textId="677E06E1" w:rsidR="00CE79A2" w:rsidRPr="000E3043" w:rsidRDefault="00CE79A2" w:rsidP="00CE79A2">
            <w:pPr>
              <w:pStyle w:val="BodyText"/>
            </w:pPr>
            <w:r w:rsidRPr="006D6E9A">
              <w:t>9</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96.62</w:t>
            </w:r>
          </w:p>
        </w:tc>
        <w:tc>
          <w:tcPr>
            <w:tcW w:w="4042" w:type="dxa"/>
          </w:tcPr>
          <w:p w14:paraId="2054E95A" w14:textId="712489AE" w:rsidR="00CE79A2" w:rsidRPr="000E3043" w:rsidRDefault="00CE79A2" w:rsidP="00CE79A2">
            <w:pPr>
              <w:pStyle w:val="BodyText"/>
            </w:pPr>
            <w:r w:rsidRPr="006D6E9A">
              <w:t>27</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213.76</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2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lightgbm and constant models evaluated by Driverless AI. The table shows the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36 </w:t>
            </w:r>
          </w:p>
        </w:tc>
        <w:tc>
          <w:tcPr>
            <w:tcW w:w="2463" w:type="dxa"/>
          </w:tcPr>
          <w:p w14:paraId="2D970472" w14:textId="77777777" w:rsidR="002A6414" w:rsidRPr="000E3043" w:rsidRDefault="002A6414" w:rsidP="00590BE1">
            <w:pPr>
              <w:pStyle w:val="BodyText"/>
            </w:pPr>
            <w:r w:rsidRPr="000E3043">
              <w:t>1.59538e-05 </w:t>
            </w:r>
          </w:p>
        </w:tc>
        <w:tc>
          <w:tcPr>
            <w:tcW w:w="2463" w:type="dxa"/>
          </w:tcPr>
          <w:p w14:paraId="2D970472" w14:textId="77777777" w:rsidR="002A6414" w:rsidRPr="000E3043" w:rsidRDefault="002A6414" w:rsidP="00590BE1">
            <w:pPr>
              <w:pStyle w:val="BodyText"/>
            </w:pPr>
            <w:r w:rsidRPr="000E3043">
              <w:t>7.355025053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33 </w:t>
            </w:r>
          </w:p>
        </w:tc>
        <w:tc>
          <w:tcPr>
            <w:tcW w:w="2463" w:type="dxa"/>
          </w:tcPr>
          <w:p w14:paraId="2D970472" w14:textId="77777777" w:rsidR="002A6414" w:rsidRPr="000E3043" w:rsidRDefault="002A6414" w:rsidP="00590BE1">
            <w:pPr>
              <w:pStyle w:val="BodyText"/>
            </w:pPr>
            <w:r w:rsidRPr="000E3043">
              <w:t>constant </w:t>
            </w:r>
          </w:p>
        </w:tc>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2.33329e-05 </w:t>
            </w:r>
          </w:p>
        </w:tc>
        <w:tc>
          <w:tcPr>
            <w:tcW w:w="2463" w:type="dxa"/>
          </w:tcPr>
          <w:p w14:paraId="2D970472" w14:textId="77777777" w:rsidR="002A6414" w:rsidRPr="000E3043" w:rsidRDefault="002A6414" w:rsidP="00590BE1">
            <w:pPr>
              <w:pStyle w:val="BodyText"/>
            </w:pPr>
            <w:r w:rsidRPr="000E3043">
              <w:t>0.7496757507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36 </w:t>
            </w:r>
          </w:p>
        </w:tc>
        <w:tc>
          <w:tcPr>
            <w:tcW w:w="2463" w:type="dxa"/>
          </w:tcPr>
          <w:p w14:paraId="6F3D93A9" w14:textId="77777777" w:rsidR="002A6414" w:rsidRPr="000E3043" w:rsidRDefault="002A6414" w:rsidP="00590BE1">
            <w:pPr>
              <w:pStyle w:val="BodyText"/>
            </w:pPr>
            <w:r w:rsidRPr="000E3043">
              <w:t>1.59538e-05 </w:t>
            </w:r>
          </w:p>
        </w:tc>
        <w:tc>
          <w:tcPr>
            <w:tcW w:w="2463" w:type="dxa"/>
          </w:tcPr>
          <w:p w14:paraId="6F3D93A9" w14:textId="77777777" w:rsidR="002A6414" w:rsidRPr="000E3043" w:rsidRDefault="002A6414" w:rsidP="00590BE1">
            <w:pPr>
              <w:pStyle w:val="BodyText"/>
            </w:pPr>
            <w:r w:rsidRPr="000E3043">
              <w:t>7.355025053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2.33329e-05 </w:t>
            </w:r>
          </w:p>
        </w:tc>
        <w:tc>
          <w:tcPr>
            <w:tcW w:w="2463" w:type="dxa"/>
          </w:tcPr>
          <w:p w14:paraId="6F3D93A9" w14:textId="77777777" w:rsidR="002A6414" w:rsidRPr="000E3043" w:rsidRDefault="002A6414" w:rsidP="00590BE1">
            <w:pPr>
              <w:pStyle w:val="BodyText"/>
            </w:pPr>
            <w:r w:rsidRPr="000E3043">
              <w:t>0.7496757507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models </w:t>
      </w:r>
      <w:r w:rsidRPr="003E4C42">
        <w:t>(27)</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7"/>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20_LIQUIDITY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30_InteractionSub: JPCAUS3M rlcy: LIQUIDITY mean </w:t>
            </w:r>
          </w:p>
        </w:tc>
        <w:tc>
          <w:tcPr>
            <w:tcW w:w="2463" w:type="dxa"/>
          </w:tcPr>
          <w:p w14:paraId="67B4AFDD" w14:textId="77777777" w:rsidR="006A52EC" w:rsidRPr="000E3043" w:rsidRDefault="006A52EC" w:rsidP="00294DBB">
            <w:pPr>
              <w:pStyle w:val="BodyText"/>
            </w:pPr>
            <w:r w:rsidRPr="000E3043">
              <w:t>[JPCAUS3M rlcy] - [LIQUIDITY mean] </w:t>
            </w:r>
          </w:p>
        </w:tc>
        <w:tc>
          <w:tcPr>
            <w:tcW w:w="2463" w:type="dxa"/>
          </w:tcPr>
          <w:p w14:paraId="67B4AFDD" w14:textId="77777777" w:rsidR="006A52EC" w:rsidRPr="000E3043" w:rsidRDefault="006A52EC" w:rsidP="00294DBB">
            <w:pPr>
              <w:pStyle w:val="BodyText"/>
            </w:pPr>
            <w:r w:rsidRPr="000E3043">
              <w:t>Interaction </w:t>
            </w:r>
          </w:p>
        </w:tc>
        <w:tc>
          <w:tcPr>
            <w:tcW w:w="2463" w:type="dxa"/>
          </w:tcPr>
          <w:p w14:paraId="67B4AFDD" w14:textId="77777777" w:rsidR="006A52EC" w:rsidRPr="000E3043" w:rsidRDefault="006A52EC" w:rsidP="00294DBB">
            <w:pPr>
              <w:pStyle w:val="BodyText"/>
            </w:pPr>
            <w:r w:rsidRPr="000E3043">
              <w:t>0.7483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19_LIQUIDITY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0.3769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46_dprezzo~get_year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0.1115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21_LIQUIDITY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0.0834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38_TargetLagsMean: dprezzo.65: 66: 67: 68: 69: 70: 71: 72: 73: 74: 75: 76: 77: 78: 79: 80: 85: 90: 95: 100: 105: 110: 115: 120: 125: 130: 135 </w:t>
            </w:r>
          </w:p>
        </w:tc>
        <w:tc>
          <w:tcPr>
            <w:tcW w:w="2463" w:type="dxa"/>
          </w:tcPr>
          <w:p w14:paraId="67B4AFDD" w14:textId="77777777" w:rsidR="006A52EC" w:rsidRPr="000E3043" w:rsidRDefault="006A52EC" w:rsidP="00294DBB">
            <w:pPr>
              <w:pStyle w:val="BodyText"/>
            </w:pPr>
            <w:r w:rsidRPr="000E3043">
              <w:t>Mean of target lags [65, 66, 67, 68, 69, 70, 71, 72, 73, 74, 75, 76, 77, 78, 79, 80, 85, 90, 95, 100, 105, 110, 115, 120, 125, 130, 135]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0.0395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38_TargetLagsMedian: dprezzo.65: 66: 67: 68: 69: 70: 71: 72: 73: 74: 75: 76: 77: 78: 79: 80: 85: 90: 95: 100: 105: 110: 115: 120: 125: 130: 135 </w:t>
            </w:r>
          </w:p>
        </w:tc>
        <w:tc>
          <w:tcPr>
            <w:tcW w:w="2463" w:type="dxa"/>
          </w:tcPr>
          <w:p w14:paraId="67B4AFDD" w14:textId="77777777" w:rsidR="006A52EC" w:rsidRPr="000E3043" w:rsidRDefault="006A52EC" w:rsidP="00294DBB">
            <w:pPr>
              <w:pStyle w:val="BodyText"/>
            </w:pPr>
            <w:r w:rsidRPr="000E3043">
              <w:t>Median of target lags [65, 66, 67, 68, 69, 70, 71, 72, 73, 74, 75, 76, 77, 78, 79, 80, 85, 90, 95, 100, 105, 110, 115, 120, 125, 130, 135]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46_dprezzo~get_dayofyear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0.0089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31 original features -&gt; 8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8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64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6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0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0.2253741 </w:t>
            </w:r>
          </w:p>
        </w:tc>
        <w:tc>
          <w:tcPr>
            <w:tcW w:w="2463" w:type="dxa"/>
          </w:tcPr>
          <w:p w14:paraId="2EBDDA70" w14:textId="77777777" w:rsidR="004C36DA" w:rsidRPr="000E3043" w:rsidRDefault="004C36DA" w:rsidP="00BF5492">
            <w:pPr>
              <w:pStyle w:val="BodyText"/>
            </w:pPr>
            <w:r w:rsidRPr="000E3043">
              <w:t>0.05903869 </w:t>
            </w:r>
          </w:p>
        </w:tc>
        <w:tc>
          <w:tcPr>
            <w:tcW w:w="2463" w:type="dxa"/>
          </w:tcPr>
          <w:p w14:paraId="2EBDDA70" w14:textId="77777777" w:rsidR="004C36DA" w:rsidRPr="000E3043" w:rsidRDefault="004C36DA" w:rsidP="00BF5492">
            <w:pPr>
              <w:pStyle w:val="BodyText"/>
            </w:pPr>
            <w:r w:rsidRPr="000E3043">
              <w:t>0.9749157 </w:t>
            </w:r>
          </w:p>
        </w:tc>
        <w:tc>
          <w:tcPr>
            <w:tcW w:w="2463" w:type="dxa"/>
          </w:tcPr>
          <w:p w14:paraId="2EBDDA70" w14:textId="77777777" w:rsidR="004C36DA" w:rsidRPr="000E3043" w:rsidRDefault="004C36DA" w:rsidP="00BF5492">
            <w:pPr>
              <w:pStyle w:val="BodyText"/>
            </w:pPr>
            <w:r w:rsidRPr="000E3043">
              <w:t>0.008093761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1.24707e-05 </w:t>
            </w:r>
          </w:p>
        </w:tc>
        <w:tc>
          <w:tcPr>
            <w:tcW w:w="2463" w:type="dxa"/>
          </w:tcPr>
          <w:p w14:paraId="2EBDDA70" w14:textId="77777777" w:rsidR="004C36DA" w:rsidRPr="000E3043" w:rsidRDefault="004C36DA" w:rsidP="00BF5492">
            <w:pPr>
              <w:pStyle w:val="BodyText"/>
            </w:pPr>
            <w:r w:rsidRPr="000E3043">
              <w:t>8.272277e-07 </w:t>
            </w:r>
          </w:p>
        </w:tc>
        <w:tc>
          <w:tcPr>
            <w:tcW w:w="2463" w:type="dxa"/>
          </w:tcPr>
          <w:p w14:paraId="2EBDDA70" w14:textId="77777777" w:rsidR="004C36DA" w:rsidRPr="000E3043" w:rsidRDefault="004C36DA" w:rsidP="00BF5492">
            <w:pPr>
              <w:pStyle w:val="BodyText"/>
            </w:pPr>
            <w:r w:rsidRPr="000E3043">
              <w:t>2.374587e-06 </w:t>
            </w:r>
          </w:p>
        </w:tc>
        <w:tc>
          <w:tcPr>
            <w:tcW w:w="2463" w:type="dxa"/>
          </w:tcPr>
          <w:p w14:paraId="2EBDDA70" w14:textId="77777777" w:rsidR="004C36DA" w:rsidRPr="000E3043" w:rsidRDefault="004C36DA" w:rsidP="00BF5492">
            <w:pPr>
              <w:pStyle w:val="BodyText"/>
            </w:pPr>
            <w:r w:rsidRPr="000E3043">
              <w:t>3.458579e-07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94.36765 </w:t>
            </w:r>
          </w:p>
        </w:tc>
        <w:tc>
          <w:tcPr>
            <w:tcW w:w="2463" w:type="dxa"/>
          </w:tcPr>
          <w:p w14:paraId="2EBDDA70" w14:textId="77777777" w:rsidR="004C36DA" w:rsidRPr="000E3043" w:rsidRDefault="004C36DA" w:rsidP="00BF5492">
            <w:pPr>
              <w:pStyle w:val="BodyText"/>
            </w:pPr>
            <w:r w:rsidRPr="000E3043">
              <w:t>6.652519 </w:t>
            </w:r>
          </w:p>
        </w:tc>
        <w:tc>
          <w:tcPr>
            <w:tcW w:w="2463" w:type="dxa"/>
          </w:tcPr>
          <w:p w14:paraId="2EBDDA70" w14:textId="77777777" w:rsidR="004C36DA" w:rsidRPr="000E3043" w:rsidRDefault="004C36DA" w:rsidP="00BF5492">
            <w:pPr>
              <w:pStyle w:val="BodyText"/>
            </w:pPr>
            <w:r w:rsidRPr="000E3043">
              <w:t>39.87207 </w:t>
            </w:r>
          </w:p>
        </w:tc>
        <w:tc>
          <w:tcPr>
            <w:tcW w:w="2463" w:type="dxa"/>
          </w:tcPr>
          <w:p w14:paraId="2EBDDA70" w14:textId="77777777" w:rsidR="004C36DA" w:rsidRPr="000E3043" w:rsidRDefault="004C36DA" w:rsidP="00BF5492">
            <w:pPr>
              <w:pStyle w:val="BodyText"/>
            </w:pPr>
            <w:r w:rsidRPr="000E3043">
              <w:t>13.99821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19.76142 </w:t>
            </w:r>
          </w:p>
        </w:tc>
        <w:tc>
          <w:tcPr>
            <w:tcW w:w="2463" w:type="dxa"/>
          </w:tcPr>
          <w:p w14:paraId="2EBDDA70" w14:textId="77777777" w:rsidR="004C36DA" w:rsidRPr="000E3043" w:rsidRDefault="004C36DA" w:rsidP="00BF5492">
            <w:pPr>
              <w:pStyle w:val="BodyText"/>
            </w:pPr>
            <w:r w:rsidRPr="000E3043">
              <w:t>1.98 </w:t>
            </w:r>
          </w:p>
        </w:tc>
        <w:tc>
          <w:tcPr>
            <w:tcW w:w="2463" w:type="dxa"/>
          </w:tcPr>
          <w:p w14:paraId="2EBDDA70" w14:textId="77777777" w:rsidR="004C36DA" w:rsidRPr="000E3043" w:rsidRDefault="004C36DA" w:rsidP="00BF5492">
            <w:pPr>
              <w:pStyle w:val="BodyText"/>
            </w:pPr>
            <w:r w:rsidRPr="000E3043">
              <w:t>13.65555 </w:t>
            </w:r>
          </w:p>
        </w:tc>
        <w:tc>
          <w:tcPr>
            <w:tcW w:w="2463" w:type="dxa"/>
          </w:tcPr>
          <w:p w14:paraId="2EBDDA70" w14:textId="77777777" w:rsidR="004C36DA" w:rsidRPr="000E3043" w:rsidRDefault="004C36DA" w:rsidP="00BF5492">
            <w:pPr>
              <w:pStyle w:val="BodyText"/>
            </w:pPr>
            <w:r w:rsidRPr="000E3043">
              <w:t>2.003443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5.320741e-10 </w:t>
            </w:r>
          </w:p>
        </w:tc>
        <w:tc>
          <w:tcPr>
            <w:tcW w:w="2463" w:type="dxa"/>
          </w:tcPr>
          <w:p w14:paraId="2EBDDA70" w14:textId="77777777" w:rsidR="004C36DA" w:rsidRPr="000E3043" w:rsidRDefault="004C36DA" w:rsidP="00BF5492">
            <w:pPr>
              <w:pStyle w:val="BodyText"/>
            </w:pPr>
            <w:r w:rsidRPr="000E3043">
              <w:t>6.045668e-11 </w:t>
            </w:r>
          </w:p>
        </w:tc>
        <w:tc>
          <w:tcPr>
            <w:tcW w:w="2463" w:type="dxa"/>
          </w:tcPr>
          <w:p w14:paraId="2EBDDA70" w14:textId="77777777" w:rsidR="004C36DA" w:rsidRPr="000E3043" w:rsidRDefault="004C36DA" w:rsidP="00BF5492">
            <w:pPr>
              <w:pStyle w:val="BodyText"/>
            </w:pPr>
            <w:r w:rsidRPr="000E3043">
              <w:t>1.286172e-11 </w:t>
            </w:r>
          </w:p>
        </w:tc>
        <w:tc>
          <w:tcPr>
            <w:tcW w:w="2463" w:type="dxa"/>
          </w:tcPr>
          <w:p w14:paraId="2EBDDA70" w14:textId="77777777" w:rsidR="004C36DA" w:rsidRPr="000E3043" w:rsidRDefault="004C36DA" w:rsidP="00BF5492">
            <w:pPr>
              <w:pStyle w:val="BodyText"/>
            </w:pPr>
            <w:r w:rsidRPr="000E3043">
              <w:t>3.379018e-12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 </w:t>
            </w:r>
          </w:p>
        </w:tc>
        <w:tc>
          <w:tcPr>
            <w:tcW w:w="2463" w:type="dxa"/>
          </w:tcPr>
          <w:p w14:paraId="2EBDDA70" w14:textId="77777777" w:rsidR="004C36DA" w:rsidRPr="000E3043" w:rsidRDefault="004C36DA" w:rsidP="00BF5492">
            <w:pPr>
              <w:pStyle w:val="BodyText"/>
            </w:pPr>
            <w:r w:rsidRPr="000E3043">
              <w:t>0.004258942 </w:t>
            </w:r>
          </w:p>
        </w:tc>
        <w:tc>
          <w:tcPr>
            <w:tcW w:w="2463" w:type="dxa"/>
          </w:tcPr>
          <w:p w14:paraId="2EBDDA70" w14:textId="77777777" w:rsidR="004C36DA" w:rsidRPr="000E3043" w:rsidRDefault="004C36DA" w:rsidP="00BF5492">
            <w:pPr>
              <w:pStyle w:val="BodyText"/>
            </w:pPr>
            <w:r w:rsidRPr="000E3043">
              <w:t>0.9327696 </w:t>
            </w:r>
          </w:p>
        </w:tc>
        <w:tc>
          <w:tcPr>
            <w:tcW w:w="2463" w:type="dxa"/>
          </w:tcPr>
          <w:p w14:paraId="2EBDDA70" w14:textId="77777777" w:rsidR="004C36DA" w:rsidRPr="000E3043" w:rsidRDefault="004C36DA" w:rsidP="00BF5492">
            <w:pPr>
              <w:pStyle w:val="BodyText"/>
            </w:pPr>
            <w:r w:rsidRPr="000E3043">
              <w:t>0.01634128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2.306673e-05 </w:t>
            </w:r>
          </w:p>
        </w:tc>
        <w:tc>
          <w:tcPr>
            <w:tcW w:w="2463" w:type="dxa"/>
          </w:tcPr>
          <w:p w14:paraId="2EBDDA70" w14:textId="77777777" w:rsidR="004C36DA" w:rsidRPr="000E3043" w:rsidRDefault="004C36DA" w:rsidP="00BF5492">
            <w:pPr>
              <w:pStyle w:val="BodyText"/>
            </w:pPr>
            <w:r w:rsidRPr="000E3043">
              <w:t>1.336716e-06 </w:t>
            </w:r>
          </w:p>
        </w:tc>
        <w:tc>
          <w:tcPr>
            <w:tcW w:w="2463" w:type="dxa"/>
          </w:tcPr>
          <w:p w14:paraId="2EBDDA70" w14:textId="77777777" w:rsidR="004C36DA" w:rsidRPr="000E3043" w:rsidRDefault="004C36DA" w:rsidP="00BF5492">
            <w:pPr>
              <w:pStyle w:val="BodyText"/>
            </w:pPr>
            <w:r w:rsidRPr="000E3043">
              <w:t>3.586324e-06 </w:t>
            </w:r>
          </w:p>
        </w:tc>
        <w:tc>
          <w:tcPr>
            <w:tcW w:w="2463" w:type="dxa"/>
          </w:tcPr>
          <w:p w14:paraId="2EBDDA70" w14:textId="77777777" w:rsidR="004C36DA" w:rsidRPr="000E3043" w:rsidRDefault="004C36DA" w:rsidP="00BF5492">
            <w:pPr>
              <w:pStyle w:val="BodyText"/>
            </w:pPr>
            <w:r w:rsidRPr="000E3043">
              <w:t>4.693611e-07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169.8786 </w:t>
            </w:r>
          </w:p>
        </w:tc>
        <w:tc>
          <w:tcPr>
            <w:tcW w:w="2463" w:type="dxa"/>
          </w:tcPr>
          <w:p w14:paraId="2EBDDA70" w14:textId="77777777" w:rsidR="004C36DA" w:rsidRPr="000E3043" w:rsidRDefault="004C36DA" w:rsidP="00BF5492">
            <w:pPr>
              <w:pStyle w:val="BodyText"/>
            </w:pPr>
            <w:r w:rsidRPr="000E3043">
              <w:t>13.05661 </w:t>
            </w:r>
          </w:p>
        </w:tc>
        <w:tc>
          <w:tcPr>
            <w:tcW w:w="2463" w:type="dxa"/>
          </w:tcPr>
          <w:p w14:paraId="2EBDDA70" w14:textId="77777777" w:rsidR="004C36DA" w:rsidRPr="000E3043" w:rsidRDefault="004C36DA" w:rsidP="00BF5492">
            <w:pPr>
              <w:pStyle w:val="BodyText"/>
            </w:pPr>
            <w:r w:rsidRPr="000E3043">
              <w:t>124.9541 </w:t>
            </w:r>
          </w:p>
        </w:tc>
        <w:tc>
          <w:tcPr>
            <w:tcW w:w="2463" w:type="dxa"/>
          </w:tcPr>
          <w:p w14:paraId="2EBDDA70" w14:textId="77777777" w:rsidR="004C36DA" w:rsidRPr="000E3043" w:rsidRDefault="004C36DA" w:rsidP="00BF5492">
            <w:pPr>
              <w:pStyle w:val="BodyText"/>
            </w:pPr>
            <w:r w:rsidRPr="000E3043">
              <w:t>49.08897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72.9468 </w:t>
            </w:r>
          </w:p>
        </w:tc>
        <w:tc>
          <w:tcPr>
            <w:tcW w:w="2463" w:type="dxa"/>
          </w:tcPr>
          <w:p w14:paraId="2EBDDA70" w14:textId="77777777" w:rsidR="004C36DA" w:rsidRPr="000E3043" w:rsidRDefault="004C36DA" w:rsidP="00BF5492">
            <w:pPr>
              <w:pStyle w:val="BodyText"/>
            </w:pPr>
            <w:r w:rsidRPr="000E3043">
              <w:t>3.735867 </w:t>
            </w:r>
          </w:p>
        </w:tc>
        <w:tc>
          <w:tcPr>
            <w:tcW w:w="2463" w:type="dxa"/>
          </w:tcPr>
          <w:p w14:paraId="2EBDDA70" w14:textId="77777777" w:rsidR="004C36DA" w:rsidRPr="000E3043" w:rsidRDefault="004C36DA" w:rsidP="00BF5492">
            <w:pPr>
              <w:pStyle w:val="BodyText"/>
            </w:pPr>
            <w:r w:rsidRPr="000E3043">
              <w:t>27.97611 </w:t>
            </w:r>
          </w:p>
        </w:tc>
        <w:tc>
          <w:tcPr>
            <w:tcW w:w="2463" w:type="dxa"/>
          </w:tcPr>
          <w:p w14:paraId="2EBDDA70" w14:textId="77777777" w:rsidR="004C36DA" w:rsidRPr="000E3043" w:rsidRDefault="004C36DA" w:rsidP="00BF5492">
            <w:pPr>
              <w:pStyle w:val="BodyText"/>
            </w:pPr>
            <w:r w:rsidRPr="000E3043">
              <w:t>4.444848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8"/>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9"/>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3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h2oai_experiment_42870f90-c29c-11ea-8620-0242ac1c0002/scoring_pipeline/scorer.zip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h2oai_experiment_42870f90-c29c-11ea-8620-0242ac1c0002/mojo_pipeline/mojo.zip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1 original variables. The top 1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LIQUIDITY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LIQUIDITY_mean.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8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best_iterations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best_learning_rate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experiment_id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42870f90-c29c-11ea-8620-0242ac1c0002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EXTRA_FS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276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1051429396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1051429396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JPCAEU3M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42870f90-c29c-11ea-8620-0242ac1c0002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./tmp/h2oai_experiment_42870f90-c29c-11ea-8620-0242ac1c0002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