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MXNA</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Sun Jul  5 20:26:29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MXNA</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MXNA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47 minutes and 9 seconds (0:47:09), using 24 of the 31 original features, and 8 of the 8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0.005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0.006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./tmp/71dad54c-bef0-11ea-b6e4-0242ac1c0002/rend_train.csv.1593975050.1814063.bin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./tmp/6e72840e-bef0-11ea-b6e4-0242ac1c0002/rend_test.csv.1593975044.470419.bin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0.606).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0.676).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0.649).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0.564).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4"/>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0.629).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0.779).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0.778).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7"/>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0.849).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&lt;&lt;&lt;JPEGCOMP rlcy&gt;&gt;&gt; (AUC: 0.591).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7296"/>
            <wp:docPr id="1" name="Picture 1"/>
            <wp:cNvGraphicFramePr>
              <a:graphicFrameLocks noChangeAspect="1"/>
            </wp:cNvGraphicFramePr>
            <a:graphic>
              <a:graphicData uri="http://schemas.openxmlformats.org/drawingml/2006/picture">
                <pic:pic>
                  <pic:nvPicPr>
                    <pic:cNvPr id="0" name="JPEGCOMP rlcy_training_test.png"/>
                    <pic:cNvPicPr/>
                  </pic:nvPicPr>
                  <pic:blipFill>
                    <a:blip r:embed="rId19"/>
                    <a:stretch>
                      <a:fillRect/>
                    </a:stretch>
                  </pic:blipFill>
                  <pic:spPr>
                    <a:xfrm>
                      <a:off x="0" y="0"/>
                      <a:ext cx="2880000" cy="278729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0.56).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0.785).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1"/>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0.744).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0.755).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0.833).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4"/>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0.575).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JPEGCOMP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6"/>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lightgbm and constant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157</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8</w:t>
      </w:r>
      <w:r w:rsidRPr="000E3043">
        <w:t xml:space="preserve"> features over </w:t>
      </w:r>
      <w:r w:rsidRPr="00185949">
        <w:rPr>
          <w:b/>
          <w:bCs/>
        </w:rPr>
        <w:t>50</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175</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h2oai_experiment_2456fa60-bef7-11ea-b6e4-0242ac1c0002/mojo_pipeline/mojo.zip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h2oai_experiment_2456fa60-bef7-11ea-b6e4-0242ac1c0002/scoring_pipeline/scorer.zip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49.56</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1,456.33</w:t>
            </w:r>
          </w:p>
        </w:tc>
        <w:tc>
          <w:tcPr>
            <w:tcW w:w="4042" w:type="dxa"/>
          </w:tcPr>
          <w:p w14:paraId="33ED2E9F" w14:textId="677E06E1" w:rsidR="00CE79A2" w:rsidRPr="000E3043" w:rsidRDefault="00CE79A2" w:rsidP="00CE79A2">
            <w:pPr>
              <w:pStyle w:val="BodyText"/>
            </w:pPr>
            <w:r w:rsidRPr="006D6E9A">
              <w:t>157</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1,018.55</w:t>
            </w:r>
          </w:p>
        </w:tc>
        <w:tc>
          <w:tcPr>
            <w:tcW w:w="4042" w:type="dxa"/>
          </w:tcPr>
          <w:p w14:paraId="2054E95A" w14:textId="712489AE" w:rsidR="00CE79A2" w:rsidRPr="000E3043" w:rsidRDefault="00CE79A2" w:rsidP="00CE79A2">
            <w:pPr>
              <w:pStyle w:val="BodyText"/>
            </w:pPr>
            <w:r w:rsidRPr="006D6E9A">
              <w:t>175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150.86</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lightgbm and constant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13.1634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19.6201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37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26.7138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12.7935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17.8206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22.4318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19.7977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14.6242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70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18.3012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0.0047 </w:t>
            </w:r>
          </w:p>
        </w:tc>
        <w:tc>
          <w:tcPr>
            <w:tcW w:w="2463" w:type="dxa"/>
          </w:tcPr>
          <w:p w14:paraId="2D970472" w14:textId="77777777" w:rsidR="002A6414" w:rsidRPr="000E3043" w:rsidRDefault="002A6414" w:rsidP="00590BE1">
            <w:pPr>
              <w:pStyle w:val="BodyText"/>
            </w:pPr>
            <w:r w:rsidRPr="000E3043">
              <w:t>24.4027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26.7138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70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18.3012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72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17.4794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55 </w:t>
            </w:r>
          </w:p>
        </w:tc>
        <w:tc>
          <w:tcPr>
            <w:tcW w:w="2463" w:type="dxa"/>
          </w:tcPr>
          <w:p w14:paraId="6F3D93A9" w14:textId="77777777" w:rsidR="002A6414" w:rsidRPr="000E3043" w:rsidRDefault="002A6414" w:rsidP="00590BE1">
            <w:pPr>
              <w:pStyle w:val="BodyText"/>
            </w:pPr>
            <w:r w:rsidRPr="000E3043">
              <w:t>0.0048 </w:t>
            </w:r>
          </w:p>
        </w:tc>
        <w:tc>
          <w:tcPr>
            <w:tcW w:w="2463" w:type="dxa"/>
          </w:tcPr>
          <w:p w14:paraId="6F3D93A9" w14:textId="77777777" w:rsidR="002A6414" w:rsidRPr="000E3043" w:rsidRDefault="002A6414" w:rsidP="00590BE1">
            <w:pPr>
              <w:pStyle w:val="BodyText"/>
            </w:pPr>
            <w:r w:rsidRPr="000E3043">
              <w:t>8.8453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85 </w:t>
            </w:r>
          </w:p>
        </w:tc>
        <w:tc>
          <w:tcPr>
            <w:tcW w:w="2463" w:type="dxa"/>
          </w:tcPr>
          <w:p w14:paraId="6F3D93A9" w14:textId="77777777" w:rsidR="002A6414" w:rsidRPr="000E3043" w:rsidRDefault="002A6414" w:rsidP="00590BE1">
            <w:pPr>
              <w:pStyle w:val="BodyText"/>
            </w:pPr>
            <w:r w:rsidRPr="000E3043">
              <w:t>0.0048 </w:t>
            </w:r>
          </w:p>
        </w:tc>
        <w:tc>
          <w:tcPr>
            <w:tcW w:w="2463" w:type="dxa"/>
          </w:tcPr>
          <w:p w14:paraId="6F3D93A9" w14:textId="77777777" w:rsidR="002A6414" w:rsidRPr="000E3043" w:rsidRDefault="002A6414" w:rsidP="00590BE1">
            <w:pPr>
              <w:pStyle w:val="BodyText"/>
            </w:pPr>
            <w:r w:rsidRPr="000E3043">
              <w:t>12.2322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84 </w:t>
            </w:r>
          </w:p>
        </w:tc>
        <w:tc>
          <w:tcPr>
            <w:tcW w:w="2463" w:type="dxa"/>
          </w:tcPr>
          <w:p w14:paraId="6F3D93A9" w14:textId="77777777" w:rsidR="002A6414" w:rsidRPr="000E3043" w:rsidRDefault="002A6414" w:rsidP="00590BE1">
            <w:pPr>
              <w:pStyle w:val="BodyText"/>
            </w:pPr>
            <w:r w:rsidRPr="000E3043">
              <w:t>0.0048 </w:t>
            </w:r>
          </w:p>
        </w:tc>
        <w:tc>
          <w:tcPr>
            <w:tcW w:w="2463" w:type="dxa"/>
          </w:tcPr>
          <w:p w14:paraId="6F3D93A9" w14:textId="77777777" w:rsidR="002A6414" w:rsidRPr="000E3043" w:rsidRDefault="002A6414" w:rsidP="00590BE1">
            <w:pPr>
              <w:pStyle w:val="BodyText"/>
            </w:pPr>
            <w:r w:rsidRPr="000E3043">
              <w:t>7.4579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105 </w:t>
            </w:r>
          </w:p>
        </w:tc>
        <w:tc>
          <w:tcPr>
            <w:tcW w:w="2463" w:type="dxa"/>
          </w:tcPr>
          <w:p w14:paraId="6F3D93A9" w14:textId="77777777" w:rsidR="002A6414" w:rsidRPr="000E3043" w:rsidRDefault="002A6414" w:rsidP="00590BE1">
            <w:pPr>
              <w:pStyle w:val="BodyText"/>
            </w:pPr>
            <w:r w:rsidRPr="000E3043">
              <w:t>0.0048 </w:t>
            </w:r>
          </w:p>
        </w:tc>
        <w:tc>
          <w:tcPr>
            <w:tcW w:w="2463" w:type="dxa"/>
          </w:tcPr>
          <w:p w14:paraId="6F3D93A9" w14:textId="77777777" w:rsidR="002A6414" w:rsidRPr="000E3043" w:rsidRDefault="002A6414" w:rsidP="00590BE1">
            <w:pPr>
              <w:pStyle w:val="BodyText"/>
            </w:pPr>
            <w:r w:rsidRPr="000E3043">
              <w:t>17.5624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102 </w:t>
            </w:r>
          </w:p>
        </w:tc>
        <w:tc>
          <w:tcPr>
            <w:tcW w:w="2463" w:type="dxa"/>
          </w:tcPr>
          <w:p w14:paraId="6F3D93A9" w14:textId="77777777" w:rsidR="002A6414" w:rsidRPr="000E3043" w:rsidRDefault="002A6414" w:rsidP="00590BE1">
            <w:pPr>
              <w:pStyle w:val="BodyText"/>
            </w:pPr>
            <w:r w:rsidRPr="000E3043">
              <w:t>0.0048 </w:t>
            </w:r>
          </w:p>
        </w:tc>
        <w:tc>
          <w:tcPr>
            <w:tcW w:w="2463" w:type="dxa"/>
          </w:tcPr>
          <w:p w14:paraId="6F3D93A9" w14:textId="77777777" w:rsidR="002A6414" w:rsidRPr="000E3043" w:rsidRDefault="002A6414" w:rsidP="00590BE1">
            <w:pPr>
              <w:pStyle w:val="BodyText"/>
            </w:pPr>
            <w:r w:rsidRPr="000E3043">
              <w:t>14.5029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113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17.4194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108 </w:t>
            </w:r>
          </w:p>
        </w:tc>
        <w:tc>
          <w:tcPr>
            <w:tcW w:w="2463" w:type="dxa"/>
          </w:tcPr>
          <w:p w14:paraId="6F3D93A9" w14:textId="77777777" w:rsidR="002A6414" w:rsidRPr="000E3043" w:rsidRDefault="002A6414" w:rsidP="00590BE1">
            <w:pPr>
              <w:pStyle w:val="BodyText"/>
            </w:pPr>
            <w:r w:rsidRPr="000E3043">
              <w:t>0.0049 </w:t>
            </w:r>
          </w:p>
        </w:tc>
        <w:tc>
          <w:tcPr>
            <w:tcW w:w="2463" w:type="dxa"/>
          </w:tcPr>
          <w:p w14:paraId="6F3D93A9" w14:textId="77777777" w:rsidR="002A6414" w:rsidRPr="000E3043" w:rsidRDefault="002A6414" w:rsidP="00590BE1">
            <w:pPr>
              <w:pStyle w:val="BodyText"/>
            </w:pPr>
            <w:r w:rsidRPr="000E3043">
              <w:t>19.182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13.1634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19.6201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12.7935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17.8206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22.4318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19.7977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14.6242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24.4027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20.5582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0.0047 </w:t>
            </w:r>
          </w:p>
        </w:tc>
        <w:tc>
          <w:tcPr>
            <w:tcW w:w="2463" w:type="dxa"/>
          </w:tcPr>
          <w:p w14:paraId="6F3D93A9" w14:textId="77777777" w:rsidR="002A6414" w:rsidRPr="000E3043" w:rsidRDefault="002A6414" w:rsidP="00590BE1">
            <w:pPr>
              <w:pStyle w:val="BodyText"/>
            </w:pPr>
            <w:r w:rsidRPr="000E3043">
              <w:t>22.3198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0.0061 </w:t>
            </w:r>
          </w:p>
        </w:tc>
        <w:tc>
          <w:tcPr>
            <w:tcW w:w="2463" w:type="dxa"/>
          </w:tcPr>
          <w:p w14:paraId="6F3D93A9" w14:textId="77777777" w:rsidR="002A6414" w:rsidRPr="000E3043" w:rsidRDefault="002A6414" w:rsidP="00590BE1">
            <w:pPr>
              <w:pStyle w:val="BodyText"/>
            </w:pPr>
            <w:r w:rsidRPr="000E3043">
              <w:t>1.0549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(175)</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7"/>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24_MXEM rlcy </w:t>
            </w:r>
          </w:p>
        </w:tc>
        <w:tc>
          <w:tcPr>
            <w:tcW w:w="2463" w:type="dxa"/>
          </w:tcPr>
          <w:p w14:paraId="67B4AFDD" w14:textId="77777777" w:rsidR="006A52EC" w:rsidRPr="000E3043" w:rsidRDefault="006A52EC" w:rsidP="00294DBB">
            <w:pPr>
              <w:pStyle w:val="BodyText"/>
            </w:pPr>
            <w:r w:rsidRPr="000E3043">
              <w:t>MXEM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0.6752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0.3999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0.2637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0.2495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25_MXEU rlcy </w:t>
            </w:r>
          </w:p>
        </w:tc>
        <w:tc>
          <w:tcPr>
            <w:tcW w:w="2463" w:type="dxa"/>
          </w:tcPr>
          <w:p w14:paraId="67B4AFDD" w14:textId="77777777" w:rsidR="006A52EC" w:rsidRPr="000E3043" w:rsidRDefault="006A52EC" w:rsidP="00294DBB">
            <w:pPr>
              <w:pStyle w:val="BodyText"/>
            </w:pPr>
            <w:r w:rsidRPr="000E3043">
              <w:t>MXEU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0.2414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0.1755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0.1125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13_JNUCUS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14_JPCAEU3M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0.0554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18_JPMGEMLC rlcy </w:t>
            </w:r>
          </w:p>
        </w:tc>
        <w:tc>
          <w:tcPr>
            <w:tcW w:w="2463" w:type="dxa"/>
          </w:tcPr>
          <w:p w14:paraId="67B4AFDD" w14:textId="77777777" w:rsidR="006A52EC" w:rsidRPr="000E3043" w:rsidRDefault="006A52EC" w:rsidP="00294DBB">
            <w:pPr>
              <w:pStyle w:val="BodyText"/>
            </w:pPr>
            <w:r w:rsidRPr="000E3043">
              <w:t>JPMGEMLC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17_JPEGCOMP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0.0507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12_JNUCUK rlcy </w:t>
            </w:r>
          </w:p>
        </w:tc>
        <w:tc>
          <w:tcPr>
            <w:tcW w:w="2463" w:type="dxa"/>
          </w:tcPr>
          <w:p w14:paraId="67B4AFDD" w14:textId="77777777" w:rsidR="006A52EC" w:rsidRPr="000E3043" w:rsidRDefault="006A52EC" w:rsidP="00294DBB">
            <w:pPr>
              <w:pStyle w:val="BodyText"/>
            </w:pPr>
            <w:r w:rsidRPr="000E3043">
              <w:t>JNUCUK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0.0452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31_EWMA(0.05)(2)TargetLags: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twice differentiated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22_LIQUIDITY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0.0328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0.0317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31_EWMA(0.05)(0)TargetLags: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0.0299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21_LIQUIDITY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0.0288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30_dprezzo~get_dayofyear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0.0282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19_LIQUIDITY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0.0276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31_EWMA(0.05)(1)TargetLags: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differentiated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0.0274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20_LIQUIDITY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0.0273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23_MXEF rlcy </w:t>
            </w:r>
          </w:p>
        </w:tc>
        <w:tc>
          <w:tcPr>
            <w:tcW w:w="2463" w:type="dxa"/>
          </w:tcPr>
          <w:p w14:paraId="67B4AFDD" w14:textId="77777777" w:rsidR="006A52EC" w:rsidRPr="000E3043" w:rsidRDefault="006A52EC" w:rsidP="00294DBB">
            <w:pPr>
              <w:pStyle w:val="BodyText"/>
            </w:pPr>
            <w:r w:rsidRPr="000E3043">
              <w:t>MXEF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30_dprezzo~get_day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0.0241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0.0232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0.0166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30_dprezzo~get_week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0.0155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30_dprezzo~get_year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0.0151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30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0.0144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31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0.0101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32 </w:t>
            </w:r>
          </w:p>
        </w:tc>
        <w:tc>
          <w:tcPr>
            <w:tcW w:w="2463" w:type="dxa"/>
          </w:tcPr>
          <w:p w14:paraId="67B4AFDD" w14:textId="77777777" w:rsidR="006A52EC" w:rsidRPr="000E3043" w:rsidRDefault="006A52EC" w:rsidP="00294DBB">
            <w:pPr>
              <w:pStyle w:val="BodyText"/>
            </w:pPr>
            <w:r w:rsidRPr="000E3043">
              <w:t>30_dprezzo~get_weekday </w:t>
            </w:r>
          </w:p>
        </w:tc>
        <w:tc>
          <w:tcPr>
            <w:tcW w:w="2463" w:type="dxa"/>
          </w:tcPr>
          <w:p w14:paraId="67B4AFDD" w14:textId="77777777" w:rsidR="006A52EC" w:rsidRPr="000E3043" w:rsidRDefault="006A52EC" w:rsidP="00294DBB">
            <w:pPr>
              <w:pStyle w:val="BodyText"/>
            </w:pPr>
            <w:r w:rsidRPr="000E3043">
              <w:t>Weekday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0.0074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25 original features -&gt; 32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32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64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6 </w:t>
            </w:r>
          </w:p>
        </w:tc>
        <w:tc>
          <w:tcPr>
            <w:tcW w:w="2463" w:type="dxa"/>
          </w:tcPr>
          <w:p w14:paraId="7435A521" w14:textId="77777777" w:rsidR="00AC643B" w:rsidRPr="005C2C94" w:rsidRDefault="00AC643B" w:rsidP="00444975">
            <w:pPr>
              <w:pStyle w:val="BodyText"/>
            </w:pPr>
            <w:r w:rsidRPr="005C2C94">
              <w:t>0.02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0.6678674 </w:t>
            </w:r>
          </w:p>
        </w:tc>
        <w:tc>
          <w:tcPr>
            <w:tcW w:w="2463" w:type="dxa"/>
          </w:tcPr>
          <w:p w14:paraId="2EBDDA70" w14:textId="77777777" w:rsidR="004C36DA" w:rsidRPr="000E3043" w:rsidRDefault="004C36DA" w:rsidP="00BF5492">
            <w:pPr>
              <w:pStyle w:val="BodyText"/>
            </w:pPr>
            <w:r w:rsidRPr="000E3043">
              <w:t>0.03240535 </w:t>
            </w:r>
          </w:p>
        </w:tc>
        <w:tc>
          <w:tcPr>
            <w:tcW w:w="2463" w:type="dxa"/>
          </w:tcPr>
          <w:p w14:paraId="2EBDDA70" w14:textId="77777777" w:rsidR="004C36DA" w:rsidRPr="000E3043" w:rsidRDefault="004C36DA" w:rsidP="00BF5492">
            <w:pPr>
              <w:pStyle w:val="BodyText"/>
            </w:pPr>
            <w:r w:rsidRPr="000E3043">
              <w:t>0.8202068 </w:t>
            </w:r>
          </w:p>
        </w:tc>
        <w:tc>
          <w:tcPr>
            <w:tcW w:w="2463" w:type="dxa"/>
          </w:tcPr>
          <w:p w14:paraId="2EBDDA70" w14:textId="77777777" w:rsidR="004C36DA" w:rsidRPr="000E3043" w:rsidRDefault="004C36DA" w:rsidP="00BF5492">
            <w:pPr>
              <w:pStyle w:val="BodyText"/>
            </w:pPr>
            <w:r w:rsidRPr="000E3043">
              <w:t>0.04199672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0.004694573 </w:t>
            </w:r>
          </w:p>
        </w:tc>
        <w:tc>
          <w:tcPr>
            <w:tcW w:w="2463" w:type="dxa"/>
          </w:tcPr>
          <w:p w14:paraId="2EBDDA70" w14:textId="77777777" w:rsidR="004C36DA" w:rsidRPr="000E3043" w:rsidRDefault="004C36DA" w:rsidP="00BF5492">
            <w:pPr>
              <w:pStyle w:val="BodyText"/>
            </w:pPr>
            <w:r w:rsidRPr="000E3043">
              <w:t>0.0002186291 </w:t>
            </w:r>
          </w:p>
        </w:tc>
        <w:tc>
          <w:tcPr>
            <w:tcW w:w="2463" w:type="dxa"/>
          </w:tcPr>
          <w:p w14:paraId="2EBDDA70" w14:textId="77777777" w:rsidR="004C36DA" w:rsidRPr="000E3043" w:rsidRDefault="004C36DA" w:rsidP="00BF5492">
            <w:pPr>
              <w:pStyle w:val="BodyText"/>
            </w:pPr>
            <w:r w:rsidRPr="000E3043">
              <w:t>0.006197262 </w:t>
            </w:r>
          </w:p>
        </w:tc>
        <w:tc>
          <w:tcPr>
            <w:tcW w:w="2463" w:type="dxa"/>
          </w:tcPr>
          <w:p w14:paraId="2EBDDA70" w14:textId="77777777" w:rsidR="004C36DA" w:rsidRPr="000E3043" w:rsidRDefault="004C36DA" w:rsidP="00BF5492">
            <w:pPr>
              <w:pStyle w:val="BodyText"/>
            </w:pPr>
            <w:r w:rsidRPr="000E3043">
              <w:t>0.0008230893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229.5412 </w:t>
            </w:r>
          </w:p>
        </w:tc>
        <w:tc>
          <w:tcPr>
            <w:tcW w:w="2463" w:type="dxa"/>
          </w:tcPr>
          <w:p w14:paraId="2EBDDA70" w14:textId="77777777" w:rsidR="004C36DA" w:rsidRPr="000E3043" w:rsidRDefault="004C36DA" w:rsidP="00BF5492">
            <w:pPr>
              <w:pStyle w:val="BodyText"/>
            </w:pPr>
            <w:r w:rsidRPr="000E3043">
              <w:t>48.59798 </w:t>
            </w:r>
          </w:p>
        </w:tc>
        <w:tc>
          <w:tcPr>
            <w:tcW w:w="2463" w:type="dxa"/>
          </w:tcPr>
          <w:p w14:paraId="2EBDDA70" w14:textId="77777777" w:rsidR="004C36DA" w:rsidRPr="000E3043" w:rsidRDefault="004C36DA" w:rsidP="00BF5492">
            <w:pPr>
              <w:pStyle w:val="BodyText"/>
            </w:pPr>
            <w:r w:rsidRPr="000E3043">
              <w:t>2569.969 </w:t>
            </w:r>
          </w:p>
        </w:tc>
        <w:tc>
          <w:tcPr>
            <w:tcW w:w="2463" w:type="dxa"/>
          </w:tcPr>
          <w:p w14:paraId="2EBDDA70" w14:textId="77777777" w:rsidR="004C36DA" w:rsidRPr="000E3043" w:rsidRDefault="004C36DA" w:rsidP="00BF5492">
            <w:pPr>
              <w:pStyle w:val="BodyText"/>
            </w:pPr>
            <w:r w:rsidRPr="000E3043">
              <w:t>2230.229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78.11626 </w:t>
            </w:r>
          </w:p>
        </w:tc>
        <w:tc>
          <w:tcPr>
            <w:tcW w:w="2463" w:type="dxa"/>
          </w:tcPr>
          <w:p w14:paraId="2EBDDA70" w14:textId="77777777" w:rsidR="004C36DA" w:rsidRPr="000E3043" w:rsidRDefault="004C36DA" w:rsidP="00BF5492">
            <w:pPr>
              <w:pStyle w:val="BodyText"/>
            </w:pPr>
            <w:r w:rsidRPr="000E3043">
              <w:t>1.297861 </w:t>
            </w:r>
          </w:p>
        </w:tc>
        <w:tc>
          <w:tcPr>
            <w:tcW w:w="2463" w:type="dxa"/>
          </w:tcPr>
          <w:p w14:paraId="2EBDDA70" w14:textId="77777777" w:rsidR="004C36DA" w:rsidRPr="000E3043" w:rsidRDefault="004C36DA" w:rsidP="00BF5492">
            <w:pPr>
              <w:pStyle w:val="BodyText"/>
            </w:pPr>
            <w:r w:rsidRPr="000E3043">
              <w:t>72.92664 </w:t>
            </w:r>
          </w:p>
        </w:tc>
        <w:tc>
          <w:tcPr>
            <w:tcW w:w="2463" w:type="dxa"/>
          </w:tcPr>
          <w:p w14:paraId="2EBDDA70" w14:textId="77777777" w:rsidR="004C36DA" w:rsidRPr="000E3043" w:rsidRDefault="004C36DA" w:rsidP="00BF5492">
            <w:pPr>
              <w:pStyle w:val="BodyText"/>
            </w:pPr>
            <w:r w:rsidRPr="000E3043">
              <w:t>7.056387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4.646333e-05 </w:t>
            </w:r>
          </w:p>
        </w:tc>
        <w:tc>
          <w:tcPr>
            <w:tcW w:w="2463" w:type="dxa"/>
          </w:tcPr>
          <w:p w14:paraId="2EBDDA70" w14:textId="77777777" w:rsidR="004C36DA" w:rsidRPr="000E3043" w:rsidRDefault="004C36DA" w:rsidP="00BF5492">
            <w:pPr>
              <w:pStyle w:val="BodyText"/>
            </w:pPr>
            <w:r w:rsidRPr="000E3043">
              <w:t>5.069518e-06 </w:t>
            </w:r>
          </w:p>
        </w:tc>
        <w:tc>
          <w:tcPr>
            <w:tcW w:w="2463" w:type="dxa"/>
          </w:tcPr>
          <w:p w14:paraId="2EBDDA70" w14:textId="77777777" w:rsidR="004C36DA" w:rsidRPr="000E3043" w:rsidRDefault="004C36DA" w:rsidP="00BF5492">
            <w:pPr>
              <w:pStyle w:val="BodyText"/>
            </w:pPr>
            <w:r w:rsidRPr="000E3043">
              <w:t>7.748635e-05 </w:t>
            </w:r>
          </w:p>
        </w:tc>
        <w:tc>
          <w:tcPr>
            <w:tcW w:w="2463" w:type="dxa"/>
          </w:tcPr>
          <w:p w14:paraId="2EBDDA70" w14:textId="77777777" w:rsidR="004C36DA" w:rsidRPr="000E3043" w:rsidRDefault="004C36DA" w:rsidP="00BF5492">
            <w:pPr>
              <w:pStyle w:val="BodyText"/>
            </w:pPr>
            <w:r w:rsidRPr="000E3043">
              <w:t>2.288052e-05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0.4349831 </w:t>
            </w:r>
          </w:p>
        </w:tc>
        <w:tc>
          <w:tcPr>
            <w:tcW w:w="2463" w:type="dxa"/>
          </w:tcPr>
          <w:p w14:paraId="2EBDDA70" w14:textId="77777777" w:rsidR="004C36DA" w:rsidRPr="000E3043" w:rsidRDefault="004C36DA" w:rsidP="00BF5492">
            <w:pPr>
              <w:pStyle w:val="BodyText"/>
            </w:pPr>
            <w:r w:rsidRPr="000E3043">
              <w:t>0.04316215 </w:t>
            </w:r>
          </w:p>
        </w:tc>
        <w:tc>
          <w:tcPr>
            <w:tcW w:w="2463" w:type="dxa"/>
          </w:tcPr>
          <w:p w14:paraId="2EBDDA70" w14:textId="77777777" w:rsidR="004C36DA" w:rsidRPr="000E3043" w:rsidRDefault="004C36DA" w:rsidP="00BF5492">
            <w:pPr>
              <w:pStyle w:val="BodyText"/>
            </w:pPr>
            <w:r w:rsidRPr="000E3043">
              <w:t>0.5971109 </w:t>
            </w:r>
          </w:p>
        </w:tc>
        <w:tc>
          <w:tcPr>
            <w:tcW w:w="2463" w:type="dxa"/>
          </w:tcPr>
          <w:p w14:paraId="2EBDDA70" w14:textId="77777777" w:rsidR="004C36DA" w:rsidRPr="000E3043" w:rsidRDefault="004C36DA" w:rsidP="00BF5492">
            <w:pPr>
              <w:pStyle w:val="BodyText"/>
            </w:pPr>
            <w:r w:rsidRPr="000E3043">
              <w:t>0.08022426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0.006816401 </w:t>
            </w:r>
          </w:p>
        </w:tc>
        <w:tc>
          <w:tcPr>
            <w:tcW w:w="2463" w:type="dxa"/>
          </w:tcPr>
          <w:p w14:paraId="2EBDDA70" w14:textId="77777777" w:rsidR="004C36DA" w:rsidRPr="000E3043" w:rsidRDefault="004C36DA" w:rsidP="00BF5492">
            <w:pPr>
              <w:pStyle w:val="BodyText"/>
            </w:pPr>
            <w:r w:rsidRPr="000E3043">
              <w:t>0.000368165 </w:t>
            </w:r>
          </w:p>
        </w:tc>
        <w:tc>
          <w:tcPr>
            <w:tcW w:w="2463" w:type="dxa"/>
          </w:tcPr>
          <w:p w14:paraId="2EBDDA70" w14:textId="77777777" w:rsidR="004C36DA" w:rsidRPr="000E3043" w:rsidRDefault="004C36DA" w:rsidP="00BF5492">
            <w:pPr>
              <w:pStyle w:val="BodyText"/>
            </w:pPr>
            <w:r w:rsidRPr="000E3043">
              <w:t>0.008802633 </w:t>
            </w:r>
          </w:p>
        </w:tc>
        <w:tc>
          <w:tcPr>
            <w:tcW w:w="2463" w:type="dxa"/>
          </w:tcPr>
          <w:p w14:paraId="2EBDDA70" w14:textId="77777777" w:rsidR="004C36DA" w:rsidRPr="000E3043" w:rsidRDefault="004C36DA" w:rsidP="00BF5492">
            <w:pPr>
              <w:pStyle w:val="BodyText"/>
            </w:pPr>
            <w:r w:rsidRPr="000E3043">
              <w:t>0.001285702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1320.159 </w:t>
            </w:r>
          </w:p>
        </w:tc>
        <w:tc>
          <w:tcPr>
            <w:tcW w:w="2463" w:type="dxa"/>
          </w:tcPr>
          <w:p w14:paraId="2EBDDA70" w14:textId="77777777" w:rsidR="004C36DA" w:rsidRPr="000E3043" w:rsidRDefault="004C36DA" w:rsidP="00BF5492">
            <w:pPr>
              <w:pStyle w:val="BodyText"/>
            </w:pPr>
            <w:r w:rsidRPr="000E3043">
              <w:t>394.8531 </w:t>
            </w:r>
          </w:p>
        </w:tc>
        <w:tc>
          <w:tcPr>
            <w:tcW w:w="2463" w:type="dxa"/>
          </w:tcPr>
          <w:p w14:paraId="2EBDDA70" w14:textId="77777777" w:rsidR="004C36DA" w:rsidRPr="000E3043" w:rsidRDefault="004C36DA" w:rsidP="00BF5492">
            <w:pPr>
              <w:pStyle w:val="BodyText"/>
            </w:pPr>
            <w:r w:rsidRPr="000E3043">
              <w:t>18776.37 </w:t>
            </w:r>
          </w:p>
        </w:tc>
        <w:tc>
          <w:tcPr>
            <w:tcW w:w="2463" w:type="dxa"/>
          </w:tcPr>
          <w:p w14:paraId="2EBDDA70" w14:textId="77777777" w:rsidR="004C36DA" w:rsidRPr="000E3043" w:rsidRDefault="004C36DA" w:rsidP="00BF5492">
            <w:pPr>
              <w:pStyle w:val="BodyText"/>
            </w:pPr>
            <w:r w:rsidRPr="000E3043">
              <w:t>11296.67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114.5178 </w:t>
            </w:r>
          </w:p>
        </w:tc>
        <w:tc>
          <w:tcPr>
            <w:tcW w:w="2463" w:type="dxa"/>
          </w:tcPr>
          <w:p w14:paraId="2EBDDA70" w14:textId="77777777" w:rsidR="004C36DA" w:rsidRPr="000E3043" w:rsidRDefault="004C36DA" w:rsidP="00BF5492">
            <w:pPr>
              <w:pStyle w:val="BodyText"/>
            </w:pPr>
            <w:r w:rsidRPr="000E3043">
              <w:t>2.716294 </w:t>
            </w:r>
          </w:p>
        </w:tc>
        <w:tc>
          <w:tcPr>
            <w:tcW w:w="2463" w:type="dxa"/>
          </w:tcPr>
          <w:p w14:paraId="2EBDDA70" w14:textId="77777777" w:rsidR="004C36DA" w:rsidRPr="000E3043" w:rsidRDefault="004C36DA" w:rsidP="00BF5492">
            <w:pPr>
              <w:pStyle w:val="BodyText"/>
            </w:pPr>
            <w:r w:rsidRPr="000E3043">
              <w:t>114.2491 </w:t>
            </w:r>
          </w:p>
        </w:tc>
        <w:tc>
          <w:tcPr>
            <w:tcW w:w="2463" w:type="dxa"/>
          </w:tcPr>
          <w:p w14:paraId="2EBDDA70" w14:textId="77777777" w:rsidR="004C36DA" w:rsidRPr="000E3043" w:rsidRDefault="004C36DA" w:rsidP="00BF5492">
            <w:pPr>
              <w:pStyle w:val="BodyText"/>
            </w:pPr>
            <w:r w:rsidRPr="000E3043">
              <w:t>8.452785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8"/>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9"/>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27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h2oai_experiment_2456fa60-bef7-11ea-b6e4-0242ac1c0002/scoring_pipeline/scorer.zip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h2oai_experiment_2456fa60-bef7-11ea-b6e4-0242ac1c0002/mojo_pipeline/mojo.zip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4 original variables. The top 4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EQUITY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ean.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MXEM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EM_rlcy.png"/>
                    <pic:cNvPicPr/>
                  </pic:nvPicPr>
                  <pic:blipFill>
                    <a:blip r:embed="rId31"/>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max</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ax.png"/>
                    <pic:cNvPicPr/>
                  </pic:nvPicPr>
                  <pic:blipFill>
                    <a:blip r:embed="rId32"/>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min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in.png"/>
                    <pic:cNvPicPr/>
                  </pic:nvPicPr>
                  <pic:blipFill>
                    <a:blip r:embed="rId33"/>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32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do_te:False,interp:11,depth:6,num_as_cat:False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181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494112858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494112858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MXNA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2456fa60-bef7-11ea-b6e4-0242ac1c0002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./tmp/h2oai_experiment_2456fa60-bef7-11ea-b6e4-0242ac1c0002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