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Regnet i magasinet</w:t>
      </w:r>
    </w:p>
    <w:p>
      <w:pPr>
        <w:pStyle w:val="Subtitle"/>
      </w:pPr>
      <w:r>
        <w:t>Övning OV 013</w:t>
      </w:r>
    </w:p>
    <w:p>
      <w:r>
        <w:t>Datum: 2026-10-15</w:t>
      </w:r>
    </w:p>
    <w:p>
      <w:pPr>
        <w:pStyle w:val="Heading1"/>
      </w:pPr>
      <w:r>
        <w:t>Scenens utgångsläge</w:t>
      </w:r>
    </w:p>
    <w:p>
      <w:r>
        <w:t>Efter nattens regn läcker taket i stadens sädesmagasin. Några säckar av vinterns förråd är våta, och arbetare flyttar resten till en torr del av byggnaden. Magasinsföreståndaren har två gånger lämnat skriftliga begäranden om att laga taket; förvaltaren har kvitterat båda men inte skickat någon hantverkare. Nu kommer en skrivare för att räkna skadan. På hans förberedda blankett står redan att förlusten beror på bristande tillsyn i magasinet. Föreståndaren vill inte skriva under en falsk förklaring. Skrivaren vill avsluta rapporten medan arbetarna ännu bär undan säden.</w:t>
      </w:r>
    </w:p>
    <w:p>
      <w:pPr>
        <w:pStyle w:val="Heading1"/>
      </w:pPr>
      <w:r>
        <w:t>Hantverksmål</w:t>
      </w:r>
    </w:p>
    <w:p>
      <w:r>
        <w:t>Håll scenen i magasinsföreståndarens perspektiv och låt läsaren förstå det som hänt före regnet genom det som pågår i magasinet nu. Läsaren ska kunna följa varför föreståndaren och skrivaren ser olika på ansvaret utan att få hela bakgrunden i ett samlat förklaringsstycke.</w:t>
      </w:r>
    </w:p>
    <w:p>
      <w:pPr>
        <w:pStyle w:val="Heading1"/>
      </w:pPr>
      <w:r>
        <w:t>Pedagogiska begränsningar</w:t>
      </w:r>
    </w:p>
    <w:p>
      <w:r>
        <w:t>Skriv i jagform eller nära tredjeperson ur föreståndarens perspektiv, utan perspektivbyte. De två mottagna reparationsbegärandena och den förberedda blanketten är givna fakta. Du behöver inte skapa mer historia om stadens styre eller magasinets verksamhet. Låt arbetet med säden fortsätta under samtalet.</w:t>
      </w:r>
    </w:p>
    <w:p>
      <w:pPr>
        <w:pStyle w:val="Heading1"/>
      </w:pPr>
      <w:r>
        <w:t>Slutvillkor</w:t>
      </w:r>
    </w:p>
    <w:p>
      <w:r>
        <w:t>Avsluta när skrivaren fyller i och undertecknar rapporten. Du väljer om han rättar anklagelsen eller låter den stå kvar. Visa en omedelbar följd i magasinet, till exempel vad föreståndaren eller arbetarna gör när beskedet är klart. Den större konflikten behöver inte lösas.</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Regnet i magasinet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