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40"/>
        </w:rPr>
        <w:t>P3 Lending Protocol — Supporting Documents Pack</w:t>
      </w:r>
    </w:p>
    <w:p>
      <w:r>
        <w:t>Date: 2026-02-25</w:t>
      </w:r>
    </w:p>
    <w:p>
      <w:r>
        <w:t>Purpose: Provide concise supporting materials for accelerator/investor diligence (product, market, model, roadmap, and financial direction).</w:t>
      </w:r>
    </w:p>
    <w:p>
      <w:pPr>
        <w:pStyle w:val="Heading2"/>
      </w:pPr>
      <w:r>
        <w:t>1) Company Snapshot (One‑Pager)</w:t>
      </w:r>
    </w:p>
    <w:p>
      <w:r>
        <w:t>What we build: A crowdsourced, reputation-based credit marketplace and underwriting layer. Users build portable reputation via verified identity, repayment history, and community trust signals; lenders use these signals to price risk beyond FICO.</w:t>
      </w:r>
    </w:p>
    <w:p>
      <w:r>
        <w:t>Primary customers: (1) Borrowers: thin-file / credit-building users; (2) Lenders/capital providers: alternative lenders, credit unions, fintech lenders; (3) Platforms: fintech products embedding the score via API.</w:t>
      </w:r>
    </w:p>
    <w:p>
      <w:r>
        <w:t>Business model: Per-loan marketplace fees (origination/transaction and servicing), plus B2B subscriptions for lender tools (underwriting dashboard/API, monitoring, reporting).</w:t>
      </w:r>
    </w:p>
    <w:p>
      <w:r>
        <w:t>Status: MVP/prototype live; pilots next. Pre-seed SAFE raise: $250k, $5M post-money cap, 20% discount.</w:t>
      </w:r>
    </w:p>
    <w:p>
      <w:pPr>
        <w:pStyle w:val="Heading2"/>
      </w:pPr>
      <w:r>
        <w:t>2) Product &amp; Differentiation</w:t>
      </w:r>
    </w:p>
    <w:p>
      <w:pPr>
        <w:pStyle w:val="ListBullet"/>
      </w:pPr>
      <w:r>
        <w:t>Reputation Credit Profile: verified identity + repayment history + community trust signals; portable across lenders.</w:t>
      </w:r>
    </w:p>
    <w:p>
      <w:pPr>
        <w:pStyle w:val="ListBullet"/>
      </w:pPr>
      <w:r>
        <w:t>Lender Portal / API: underwriting, pricing inputs, policy gating, and monitoring with audit trails.</w:t>
      </w:r>
    </w:p>
    <w:p>
      <w:pPr>
        <w:pStyle w:val="ListBullet"/>
      </w:pPr>
      <w:r>
        <w:t>Marketplace Rails: borrower onboarding, offer matching, repayment tracking, and servicing workflows.</w:t>
      </w:r>
    </w:p>
    <w:p>
      <w:pPr>
        <w:pStyle w:val="ListBullet"/>
      </w:pPr>
      <w:r>
        <w:t>Hybrid Web2/Web3 architecture to support transparency and tamper-evident records where appropriate.</w:t>
      </w:r>
    </w:p>
    <w:p>
      <w:pPr>
        <w:pStyle w:val="Heading2"/>
      </w:pPr>
      <w:r>
        <w:t>3) Market &amp; Wedge Strategy</w:t>
      </w:r>
    </w:p>
    <w:p>
      <w:r>
        <w:t>Initial traction comes from focusing on thin-file and credit-rebuilding segments (18–45, mobile-first, gig/variable-income, underbanked) paired with a small number of pilot lenders willing to test reputation-based pricing. Expansion follows via lender integrations and fintech platform partnerships embedding the score via API.</w:t>
      </w:r>
    </w:p>
    <w:p>
      <w:pPr>
        <w:pStyle w:val="Heading2"/>
      </w:pPr>
      <w:r>
        <w:t>4) Competitive Landscape (Alternatives)</w:t>
      </w:r>
    </w:p>
    <w:p>
      <w:r>
        <w:t>Alternatives include credit bureaus/FICO, cashflow underwriting vendors, and centralized fintech lenders/marketplaces. Bureaus have broad acceptance but exclude thin-file users and are opaque/slow. Cashflow improves coverage but is permission-dependent and not portable. Centralized lenders scale distribution but keep reputation locked inside their platform. P3 differentiates with portable, auditable reputation across lenders.</w:t>
      </w:r>
    </w:p>
    <w:p>
      <w:pPr>
        <w:pStyle w:val="Heading2"/>
      </w:pPr>
      <w:r>
        <w:t>5) Roadmap (High Level)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Outcome</w:t>
            </w:r>
          </w:p>
        </w:tc>
      </w:tr>
      <w:tr>
        <w:tc>
          <w:tcPr>
            <w:tcW w:type="dxa" w:w="2880"/>
          </w:tcPr>
          <w:p>
            <w:r>
              <w:t>Now–6 mo</w:t>
            </w:r>
          </w:p>
        </w:tc>
        <w:tc>
          <w:tcPr>
            <w:tcW w:type="dxa" w:w="2880"/>
          </w:tcPr>
          <w:p>
            <w:r>
              <w:t>MVP hardening, lender pilot onboarding, risk rules + monitoring</w:t>
            </w:r>
          </w:p>
        </w:tc>
        <w:tc>
          <w:tcPr>
            <w:tcW w:type="dxa" w:w="2880"/>
          </w:tcPr>
          <w:p>
            <w:r>
              <w:t>Pilot-ready platform + first loan cohorts</w:t>
            </w:r>
          </w:p>
        </w:tc>
      </w:tr>
      <w:tr>
        <w:tc>
          <w:tcPr>
            <w:tcW w:type="dxa" w:w="2880"/>
          </w:tcPr>
          <w:p>
            <w:r>
              <w:t>6–18 mo</w:t>
            </w:r>
          </w:p>
        </w:tc>
        <w:tc>
          <w:tcPr>
            <w:tcW w:type="dxa" w:w="2880"/>
          </w:tcPr>
          <w:p>
            <w:r>
              <w:t>Expand lender network, refine scoring, add integrations/API</w:t>
            </w:r>
          </w:p>
        </w:tc>
        <w:tc>
          <w:tcPr>
            <w:tcW w:type="dxa" w:w="2880"/>
          </w:tcPr>
          <w:p>
            <w:r>
              <w:t>Scaled origination + improved loss performance</w:t>
            </w:r>
          </w:p>
        </w:tc>
      </w:tr>
      <w:tr>
        <w:tc>
          <w:tcPr>
            <w:tcW w:type="dxa" w:w="2880"/>
          </w:tcPr>
          <w:p>
            <w:r>
              <w:t>18–36 mo</w:t>
            </w:r>
          </w:p>
        </w:tc>
        <w:tc>
          <w:tcPr>
            <w:tcW w:type="dxa" w:w="2880"/>
          </w:tcPr>
          <w:p>
            <w:r>
              <w:t>Broader distribution via fintech partners, automation, compliance maturity</w:t>
            </w:r>
          </w:p>
        </w:tc>
        <w:tc>
          <w:tcPr>
            <w:tcW w:type="dxa" w:w="2880"/>
          </w:tcPr>
          <w:p>
            <w:r>
              <w:t>Network effects + higher revenue efficiency</w:t>
            </w:r>
          </w:p>
        </w:tc>
      </w:tr>
    </w:tbl>
    <w:p>
      <w:pPr>
        <w:pStyle w:val="Heading2"/>
      </w:pPr>
      <w:r>
        <w:t>6) 5‑Year Financial Direction (2025–2029)</w:t>
      </w:r>
    </w:p>
    <w:p>
      <w:r>
        <w:t>Assumptions: Pre-revenue today; revenue from marketplace fees + lender SaaS/API; spending increases as pilots and integrations scale.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Expenditure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$12k</w:t>
            </w:r>
          </w:p>
        </w:tc>
        <w:tc>
          <w:tcPr>
            <w:tcW w:type="dxa" w:w="2160"/>
          </w:tcPr>
          <w:p>
            <w:r>
              <w:t>Lean MVP build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$25k</w:t>
            </w:r>
          </w:p>
        </w:tc>
        <w:tc>
          <w:tcPr>
            <w:tcW w:type="dxa" w:w="2160"/>
          </w:tcPr>
          <w:p>
            <w:r>
              <w:t>$120k</w:t>
            </w:r>
          </w:p>
        </w:tc>
        <w:tc>
          <w:tcPr>
            <w:tcW w:type="dxa" w:w="2160"/>
          </w:tcPr>
          <w:p>
            <w:r>
              <w:t>Pilot cohorts + early B2B tooling revenue</w:t>
            </w:r>
          </w:p>
        </w:tc>
      </w:tr>
      <w:tr>
        <w:tc>
          <w:tcPr>
            <w:tcW w:type="dxa" w:w="2160"/>
          </w:tcPr>
          <w:p>
            <w:r>
              <w:t>2027</w:t>
            </w:r>
          </w:p>
        </w:tc>
        <w:tc>
          <w:tcPr>
            <w:tcW w:type="dxa" w:w="2160"/>
          </w:tcPr>
          <w:p>
            <w:r>
              <w:t>$150k</w:t>
            </w:r>
          </w:p>
        </w:tc>
        <w:tc>
          <w:tcPr>
            <w:tcW w:type="dxa" w:w="2160"/>
          </w:tcPr>
          <w:p>
            <w:r>
              <w:t>$240k</w:t>
            </w:r>
          </w:p>
        </w:tc>
        <w:tc>
          <w:tcPr>
            <w:tcW w:type="dxa" w:w="2160"/>
          </w:tcPr>
          <w:p>
            <w:r>
              <w:t>More lenders + servicing scale</w:t>
            </w:r>
          </w:p>
        </w:tc>
      </w:tr>
      <w:tr>
        <w:tc>
          <w:tcPr>
            <w:tcW w:type="dxa" w:w="2160"/>
          </w:tcPr>
          <w:p>
            <w:r>
              <w:t>2028</w:t>
            </w:r>
          </w:p>
        </w:tc>
        <w:tc>
          <w:tcPr>
            <w:tcW w:type="dxa" w:w="2160"/>
          </w:tcPr>
          <w:p>
            <w:r>
              <w:t>$400k</w:t>
            </w:r>
          </w:p>
        </w:tc>
        <w:tc>
          <w:tcPr>
            <w:tcW w:type="dxa" w:w="2160"/>
          </w:tcPr>
          <w:p>
            <w:r>
              <w:t>$450k</w:t>
            </w:r>
          </w:p>
        </w:tc>
        <w:tc>
          <w:tcPr>
            <w:tcW w:type="dxa" w:w="2160"/>
          </w:tcPr>
          <w:p>
            <w:r>
              <w:t>Partnership distribution + product maturity</w:t>
            </w:r>
          </w:p>
        </w:tc>
      </w:tr>
      <w:tr>
        <w:tc>
          <w:tcPr>
            <w:tcW w:type="dxa" w:w="2160"/>
          </w:tcPr>
          <w:p>
            <w:r>
              <w:t>2029</w:t>
            </w:r>
          </w:p>
        </w:tc>
        <w:tc>
          <w:tcPr>
            <w:tcW w:type="dxa" w:w="2160"/>
          </w:tcPr>
          <w:p>
            <w:r>
              <w:t>$900k</w:t>
            </w:r>
          </w:p>
        </w:tc>
        <w:tc>
          <w:tcPr>
            <w:tcW w:type="dxa" w:w="2160"/>
          </w:tcPr>
          <w:p>
            <w:r>
              <w:t>$850k</w:t>
            </w:r>
          </w:p>
        </w:tc>
        <w:tc>
          <w:tcPr>
            <w:tcW w:type="dxa" w:w="2160"/>
          </w:tcPr>
          <w:p>
            <w:r>
              <w:t>Approaching profitability / efficiency</w:t>
            </w:r>
          </w:p>
        </w:tc>
      </w:tr>
    </w:tbl>
    <w:p>
      <w:pPr>
        <w:pStyle w:val="Heading2"/>
      </w:pPr>
      <w:r>
        <w:t>7) Compliance &amp; Risk Posture (Summary)</w:t>
      </w:r>
    </w:p>
    <w:p>
      <w:pPr>
        <w:pStyle w:val="ListBullet"/>
      </w:pPr>
      <w:r>
        <w:t>Security-first design: role-based access control, audit logs, and least-privilege admin tooling.</w:t>
      </w:r>
    </w:p>
    <w:p>
      <w:pPr>
        <w:pStyle w:val="ListBullet"/>
      </w:pPr>
      <w:r>
        <w:t>Policy gating: configurable rules for eligibility, pricing constraints, and jurisdictional controls.</w:t>
      </w:r>
    </w:p>
    <w:p>
      <w:pPr>
        <w:pStyle w:val="ListBullet"/>
      </w:pPr>
      <w:r>
        <w:t>Integration-ready for KYC/AML vendors and lender reporting requirements.</w:t>
      </w:r>
    </w:p>
    <w:p>
      <w:pPr>
        <w:pStyle w:val="ListBullet"/>
      </w:pPr>
      <w:r>
        <w:t>Transparent records and disputeability: clear provenance of signals used in scoring.</w:t>
      </w:r>
    </w:p>
    <w:p>
      <w:pPr>
        <w:pStyle w:val="Heading2"/>
      </w:pPr>
      <w:r>
        <w:t>Contact</w:t>
      </w:r>
    </w:p>
    <w:p>
      <w:r>
        <w:t>P3 Lending Protocol — admin@p3lending.space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