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Финансы проекта: расчёты по договорам технологического присоединения</w:t>
      </w:r>
    </w:p>
    <w:p>
      <w:r>
        <w:t xml:space="preserve"/>
      </w:r>
    </w:p>
    <w:p>
      <w:r>
        <w:t xml:space="preserve">1. Счёт на оплату технологического присоединения формирует финансовый отдел сетевой организации после того, как заявитель принял условия договора.</w:t>
      </w:r>
    </w:p>
    <w:p>
      <w:r>
        <w:t xml:space="preserve">2. Счёт направляется заявителю в личный кабинет в течение 3 рабочих дней с момента формирования.</w:t>
      </w:r>
    </w:p>
    <w:p>
      <w:r>
        <w:t xml:space="preserve">3. Для заявителей мощностью свыше 150 кВт допускается оплата частями по графику из договора.</w:t>
      </w:r>
    </w:p>
    <w:p>
      <w:r>
        <w:t xml:space="preserve">4. Поступление оплаты контролирует финансовый отдел и в тот же день сообщает о нём группе приёма заявок.</w:t>
      </w:r>
    </w:p>
  </w:body>
</w:document>
</file>