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B2AA2" w14:textId="77777777" w:rsidR="00695F0A" w:rsidRDefault="00000000">
      <w:pPr>
        <w:pStyle w:val="Ttulo"/>
        <w:jc w:val="center"/>
      </w:pPr>
      <w:r>
        <w:rPr>
          <w:b/>
          <w:sz w:val="36"/>
        </w:rPr>
        <w:t>Auditoría de continuidad de segundo grado</w:t>
      </w:r>
      <w:r>
        <w:rPr>
          <w:b/>
          <w:sz w:val="36"/>
        </w:rPr>
        <w:br/>
        <w:t>Casa Portil</w:t>
      </w:r>
    </w:p>
    <w:p w14:paraId="098F7906" w14:textId="77777777" w:rsidR="00695F0A" w:rsidRDefault="00000000">
      <w:pPr>
        <w:jc w:val="center"/>
      </w:pPr>
      <w:r>
        <w:rPr>
          <w:i/>
        </w:rPr>
        <w:t>Informe de refuerzo causal, genealógico y canónico sobre el dossier maestro auditado</w:t>
      </w:r>
    </w:p>
    <w:p w14:paraId="60228B6F" w14:textId="77777777" w:rsidR="00695F0A" w:rsidRDefault="00000000">
      <w:r>
        <w:t>Este informe no se limita a registrar erratas o correcciones manifiestas. Su objeto es someter el dossier maestro a una prueba más severa de continuidad interna, atendiendo a la articulación entre eras, generaciones, oficios, eventos y mutaciones ideológicas, así como a la compatibilidad fina de la Casa Portil con la gramática política del universo de Dune.</w:t>
      </w:r>
    </w:p>
    <w:p w14:paraId="284BFA44" w14:textId="77777777" w:rsidR="00695F0A" w:rsidRDefault="00000000">
      <w:pPr>
        <w:pStyle w:val="Ttulo1"/>
      </w:pPr>
      <w:r>
        <w:t>I. Dictamen general</w:t>
      </w:r>
    </w:p>
    <w:p w14:paraId="05CCCD7C" w14:textId="77777777" w:rsidR="00695F0A" w:rsidRDefault="00000000">
      <w:r>
        <w:t>El juicio global es positivo. La Casa Portil posee ya densidad suficiente para funcionar como microcivilización feudal verosímil dentro del horizonte herbertiano. La auditoría, sin embargo, ha mostrado que la robustez del conjunto dependía menos de corregir contradicciones duras que de reforzar las transiciones: entre la fase tardocorriniana y la crisis arrakena; entre la soberanía visible y la burocratización muad’dibiana; entre el linaje gobernante y las figuras de autoridad intelectual tardía; y, por último, entre la casa planetaria clásica y las formas dispersivas de supervivencia postletiana.</w:t>
      </w:r>
    </w:p>
    <w:p w14:paraId="1CF3CC2A" w14:textId="77777777" w:rsidR="00695F0A" w:rsidRDefault="00000000">
      <w:pPr>
        <w:pStyle w:val="Ttulo1"/>
      </w:pPr>
      <w:r>
        <w:t>II. Núcleos de coherencia confirmados</w:t>
      </w:r>
    </w:p>
    <w:p w14:paraId="4FEC30FD" w14:textId="77777777" w:rsidR="00695F0A" w:rsidRDefault="00000000">
      <w:r>
        <w:t>La inserción principal de Portil en los últimos decenios corrinianos se mantiene estable y es, narrativamente, el mejor punto de anclaje del proyecto.</w:t>
      </w:r>
    </w:p>
    <w:p w14:paraId="3320298F" w14:textId="77777777" w:rsidR="00695F0A" w:rsidRDefault="00000000">
      <w:r>
        <w:t>La secuencia Oren VIII → Cael IX → Alenna → Hespar → Sor Valea → Casa dispersa es compatible con una lectura de larga duración, siempre que se distingan soberanía política, autoridad litúrgica y centralidad intelectual.</w:t>
      </w:r>
    </w:p>
    <w:p w14:paraId="73E73002" w14:textId="77777777" w:rsidR="00695F0A" w:rsidRDefault="00000000">
      <w:r>
        <w:t>El Rito del Río sigue siendo uno de los ejes más sólidos del conjunto, precisamente porque sirve a la vez como dispositivo de legitimidad, archivo de memoria y vivero de herejías.</w:t>
      </w:r>
    </w:p>
    <w:p w14:paraId="0729AD7F" w14:textId="77777777" w:rsidR="00695F0A" w:rsidRDefault="00000000">
      <w:r>
        <w:t>La posición de Portil en el Landsraad y en la CHOAM es verosímil mientras se conserve su carácter de casa bisagra, pericial y oblicua, nunca de actor sistémico mayor.</w:t>
      </w:r>
    </w:p>
    <w:p w14:paraId="64F1A2D9" w14:textId="77777777" w:rsidR="00695F0A" w:rsidRDefault="00000000">
      <w:pPr>
        <w:pStyle w:val="Ttulo1"/>
      </w:pPr>
      <w:r>
        <w:t>III. Zonas que exigían refuerzo</w:t>
      </w:r>
    </w:p>
    <w:p w14:paraId="25014423" w14:textId="77777777" w:rsidR="00695F0A" w:rsidRDefault="00000000">
      <w:r>
        <w:t>La superposición entre cronología por eras y crónica por generaciones era correcta en términos generales, pero podía seguir leyéndose como dos series paralelas insuficientemente cosidas.</w:t>
      </w:r>
    </w:p>
    <w:p w14:paraId="3C9FBC5F" w14:textId="77777777" w:rsidR="00695F0A" w:rsidRDefault="00000000">
      <w:r>
        <w:lastRenderedPageBreak/>
        <w:t>Algunos eventos mayores carecían de anclaje temporal fino, de modo que su posición relativa dentro del reinado de Cael IX o dentro de la larga duración portileña quedaba sugerida, pero no fijada.</w:t>
      </w:r>
    </w:p>
    <w:p w14:paraId="570A5131" w14:textId="77777777" w:rsidR="00695F0A" w:rsidRDefault="00000000">
      <w:r>
        <w:t>La coexistencia de figuras homónimas o casi homónimas —especialmente Seris contemporánea, Seris histórica y las resonancias del nombre Serena— reclamaba una explicación de memoria dinástica para no parecer mera reiteración nominal.</w:t>
      </w:r>
    </w:p>
    <w:p w14:paraId="41D9A5FC" w14:textId="77777777" w:rsidR="00695F0A" w:rsidRDefault="00000000">
      <w:r>
        <w:t>La fase letiana y postletiana necesitaba una distinción más nítida entre la continuidad del linaje y la transferencia de centralidad hacia figuras de autoridad cultural o archivística.</w:t>
      </w:r>
    </w:p>
    <w:p w14:paraId="55C17E93" w14:textId="77777777" w:rsidR="00695F0A" w:rsidRDefault="00000000">
      <w:pPr>
        <w:pStyle w:val="Ttulo1"/>
      </w:pPr>
      <w:r>
        <w:t>IV. Intervenciones aplicadas al dossier auditado</w:t>
      </w:r>
    </w:p>
    <w:p w14:paraId="7B21B8EC" w14:textId="77777777" w:rsidR="00695F0A" w:rsidRDefault="00000000">
      <w:r>
        <w:t>Se añadió una precisión sobre Seris Valcora Portil como evocación deliberada de Seris Portil XI, con el fin de convertir una posible ambigüedad nominal en recurso dinástico consciente.</w:t>
      </w:r>
    </w:p>
    <w:p w14:paraId="57C028AC" w14:textId="77777777" w:rsidR="00695F0A" w:rsidRDefault="00000000">
      <w:r>
        <w:t>Se reforzó la normalización de la figura fundacional como “La Serena de la Profundidad”.</w:t>
      </w:r>
    </w:p>
    <w:p w14:paraId="01E540E7" w14:textId="77777777" w:rsidR="00695F0A" w:rsidRDefault="00000000">
      <w:r>
        <w:t>Se introdujo una correspondencia sintética entre clausura ritual precrítica, reinado tardocorriniano, adaptación muad’dibiana, hipertrofia posmuad’dibiana, fase letiana crítica y transición postletiana.</w:t>
      </w:r>
    </w:p>
    <w:p w14:paraId="52F79F68" w14:textId="77777777" w:rsidR="00695F0A" w:rsidRDefault="00000000">
      <w:r>
        <w:t>Se anclaron históricamente los eventos mayores que resultaban más flotantes: Noche del Aforo Rojo, Cierre de Candal, Pleito de la Sal de Novebrunsa, Audiencia de la Prelada Ilya y Concilio de Velha Foz.</w:t>
      </w:r>
    </w:p>
    <w:p w14:paraId="00AB2930" w14:textId="77777777" w:rsidR="00695F0A" w:rsidRDefault="00000000">
      <w:r>
        <w:t>Se explicitó el estatuto de Sor Valea de Nacar como autoridad cultural de facto, no como soberana plena.</w:t>
      </w:r>
    </w:p>
    <w:p w14:paraId="4157B6BB" w14:textId="77777777" w:rsidR="00695F0A" w:rsidRDefault="00000000">
      <w:r>
        <w:t>Se añadió una regla de compatibilidad fina con Dune: Portil debe influir por mediación, pericia y forma, no por centralidad estratégica comparable a la de una Gran Casa.</w:t>
      </w:r>
    </w:p>
    <w:p w14:paraId="5D0A08C9" w14:textId="77777777" w:rsidR="00695F0A" w:rsidRDefault="00000000">
      <w:pPr>
        <w:pStyle w:val="Ttulo1"/>
      </w:pPr>
      <w:r>
        <w:t>V. Matriz mínima de continuidad</w:t>
      </w:r>
    </w:p>
    <w:tbl>
      <w:tblPr>
        <w:tblStyle w:val="Tablaconcuadrcula"/>
        <w:tblW w:w="0" w:type="auto"/>
        <w:tblLook w:val="04A0" w:firstRow="1" w:lastRow="0" w:firstColumn="1" w:lastColumn="0" w:noHBand="0" w:noVBand="1"/>
      </w:tblPr>
      <w:tblGrid>
        <w:gridCol w:w="2340"/>
        <w:gridCol w:w="2340"/>
        <w:gridCol w:w="2340"/>
        <w:gridCol w:w="2340"/>
      </w:tblGrid>
      <w:tr w:rsidR="00695F0A" w14:paraId="21667004" w14:textId="77777777">
        <w:tc>
          <w:tcPr>
            <w:tcW w:w="2340" w:type="dxa"/>
          </w:tcPr>
          <w:p w14:paraId="64FFFF0D" w14:textId="77777777" w:rsidR="00695F0A" w:rsidRDefault="00000000">
            <w:r>
              <w:t>Bloque temporal</w:t>
            </w:r>
          </w:p>
        </w:tc>
        <w:tc>
          <w:tcPr>
            <w:tcW w:w="2340" w:type="dxa"/>
          </w:tcPr>
          <w:p w14:paraId="4BE8957A" w14:textId="77777777" w:rsidR="00695F0A" w:rsidRDefault="00000000">
            <w:r>
              <w:t>Figura o generación dominante</w:t>
            </w:r>
          </w:p>
        </w:tc>
        <w:tc>
          <w:tcPr>
            <w:tcW w:w="2340" w:type="dxa"/>
          </w:tcPr>
          <w:p w14:paraId="34BB378C" w14:textId="77777777" w:rsidR="00695F0A" w:rsidRDefault="00000000">
            <w:r>
              <w:t>Función histórica</w:t>
            </w:r>
          </w:p>
        </w:tc>
        <w:tc>
          <w:tcPr>
            <w:tcW w:w="2340" w:type="dxa"/>
          </w:tcPr>
          <w:p w14:paraId="0D4EC19E" w14:textId="77777777" w:rsidR="00695F0A" w:rsidRDefault="00000000">
            <w:r>
              <w:t>Observación canónica</w:t>
            </w:r>
          </w:p>
        </w:tc>
      </w:tr>
      <w:tr w:rsidR="00695F0A" w14:paraId="2A08A3D7" w14:textId="77777777">
        <w:tc>
          <w:tcPr>
            <w:tcW w:w="2340" w:type="dxa"/>
          </w:tcPr>
          <w:p w14:paraId="71E403F8" w14:textId="77777777" w:rsidR="00695F0A" w:rsidRDefault="00000000">
            <w:r>
              <w:t>Cierre precrítico</w:t>
            </w:r>
          </w:p>
        </w:tc>
        <w:tc>
          <w:tcPr>
            <w:tcW w:w="2340" w:type="dxa"/>
          </w:tcPr>
          <w:p w14:paraId="53793BFA" w14:textId="77777777" w:rsidR="00695F0A" w:rsidRDefault="00000000">
            <w:r>
              <w:t>Oren Portil VIII</w:t>
            </w:r>
          </w:p>
        </w:tc>
        <w:tc>
          <w:tcPr>
            <w:tcW w:w="2340" w:type="dxa"/>
          </w:tcPr>
          <w:p w14:paraId="6CFEBB76" w14:textId="77777777" w:rsidR="00695F0A" w:rsidRDefault="00000000">
            <w:r>
              <w:t>Cristalización ritual</w:t>
            </w:r>
          </w:p>
        </w:tc>
        <w:tc>
          <w:tcPr>
            <w:tcW w:w="2340" w:type="dxa"/>
          </w:tcPr>
          <w:p w14:paraId="036A8F50" w14:textId="77777777" w:rsidR="00695F0A" w:rsidRDefault="00000000">
            <w:r>
              <w:t>La Devuelta Mayor fija la monumentalidad funeraria del linaje.</w:t>
            </w:r>
          </w:p>
        </w:tc>
      </w:tr>
      <w:tr w:rsidR="00695F0A" w14:paraId="72D9BF63" w14:textId="77777777">
        <w:tc>
          <w:tcPr>
            <w:tcW w:w="2340" w:type="dxa"/>
          </w:tcPr>
          <w:p w14:paraId="2882364A" w14:textId="77777777" w:rsidR="00695F0A" w:rsidRDefault="00000000">
            <w:r>
              <w:t>Tardocorriniano / crisis arrakena</w:t>
            </w:r>
          </w:p>
        </w:tc>
        <w:tc>
          <w:tcPr>
            <w:tcW w:w="2340" w:type="dxa"/>
          </w:tcPr>
          <w:p w14:paraId="26697DCA" w14:textId="77777777" w:rsidR="00695F0A" w:rsidRDefault="00000000">
            <w:r>
              <w:t>Cael Portil IX (XVI generación)</w:t>
            </w:r>
          </w:p>
        </w:tc>
        <w:tc>
          <w:tcPr>
            <w:tcW w:w="2340" w:type="dxa"/>
          </w:tcPr>
          <w:p w14:paraId="380B7E1B" w14:textId="77777777" w:rsidR="00695F0A" w:rsidRDefault="00000000">
            <w:r>
              <w:t>Soberanía formal y anticipación política</w:t>
            </w:r>
          </w:p>
        </w:tc>
        <w:tc>
          <w:tcPr>
            <w:tcW w:w="2340" w:type="dxa"/>
          </w:tcPr>
          <w:p w14:paraId="2BF1B5D7" w14:textId="77777777" w:rsidR="00695F0A" w:rsidRDefault="00000000">
            <w:r>
              <w:t>Portil pesa por archivo, mensura y cálculo, no por fuerza expansiva.</w:t>
            </w:r>
          </w:p>
        </w:tc>
      </w:tr>
      <w:tr w:rsidR="00695F0A" w14:paraId="2D7427AB" w14:textId="77777777">
        <w:tc>
          <w:tcPr>
            <w:tcW w:w="2340" w:type="dxa"/>
          </w:tcPr>
          <w:p w14:paraId="26902158" w14:textId="77777777" w:rsidR="00695F0A" w:rsidRDefault="00000000">
            <w:r>
              <w:t>Jihad muad’dibiana</w:t>
            </w:r>
          </w:p>
        </w:tc>
        <w:tc>
          <w:tcPr>
            <w:tcW w:w="2340" w:type="dxa"/>
          </w:tcPr>
          <w:p w14:paraId="025BE17F" w14:textId="77777777" w:rsidR="00695F0A" w:rsidRDefault="00000000">
            <w:r>
              <w:t xml:space="preserve">Alenna Portil (XVII </w:t>
            </w:r>
            <w:r>
              <w:lastRenderedPageBreak/>
              <w:t>generación)</w:t>
            </w:r>
          </w:p>
        </w:tc>
        <w:tc>
          <w:tcPr>
            <w:tcW w:w="2340" w:type="dxa"/>
          </w:tcPr>
          <w:p w14:paraId="19E68547" w14:textId="77777777" w:rsidR="00695F0A" w:rsidRDefault="00000000">
            <w:r>
              <w:lastRenderedPageBreak/>
              <w:t xml:space="preserve">Adaptación doctrinal </w:t>
            </w:r>
            <w:r>
              <w:lastRenderedPageBreak/>
              <w:t>y administrativa</w:t>
            </w:r>
          </w:p>
        </w:tc>
        <w:tc>
          <w:tcPr>
            <w:tcW w:w="2340" w:type="dxa"/>
          </w:tcPr>
          <w:p w14:paraId="3B93BADB" w14:textId="77777777" w:rsidR="00695F0A" w:rsidRDefault="00000000">
            <w:r>
              <w:lastRenderedPageBreak/>
              <w:t xml:space="preserve">La supervivencia </w:t>
            </w:r>
            <w:r>
              <w:lastRenderedPageBreak/>
              <w:t>depende de traducir el nuevo lenguaje imperial sin anular la legitimidad local.</w:t>
            </w:r>
          </w:p>
        </w:tc>
      </w:tr>
      <w:tr w:rsidR="00695F0A" w14:paraId="6C8BE990" w14:textId="77777777">
        <w:tc>
          <w:tcPr>
            <w:tcW w:w="2340" w:type="dxa"/>
          </w:tcPr>
          <w:p w14:paraId="5C22A93B" w14:textId="77777777" w:rsidR="00695F0A" w:rsidRDefault="00000000">
            <w:r>
              <w:lastRenderedPageBreak/>
              <w:t>Posmuad’dibiano</w:t>
            </w:r>
          </w:p>
        </w:tc>
        <w:tc>
          <w:tcPr>
            <w:tcW w:w="2340" w:type="dxa"/>
          </w:tcPr>
          <w:p w14:paraId="38C31BAB" w14:textId="77777777" w:rsidR="00695F0A" w:rsidRDefault="00000000">
            <w:r>
              <w:t>Hespar Portil (XVIII generación)</w:t>
            </w:r>
          </w:p>
        </w:tc>
        <w:tc>
          <w:tcPr>
            <w:tcW w:w="2340" w:type="dxa"/>
          </w:tcPr>
          <w:p w14:paraId="300943CB" w14:textId="77777777" w:rsidR="00695F0A" w:rsidRDefault="00000000">
            <w:r>
              <w:t>Hipertrofia documental</w:t>
            </w:r>
          </w:p>
        </w:tc>
        <w:tc>
          <w:tcPr>
            <w:tcW w:w="2340" w:type="dxa"/>
          </w:tcPr>
          <w:p w14:paraId="6E7A7FF6" w14:textId="77777777" w:rsidR="00695F0A" w:rsidRDefault="00000000">
            <w:r>
              <w:t>Portil se vuelve más densa en archivo y menos libre en soberanía.</w:t>
            </w:r>
          </w:p>
        </w:tc>
      </w:tr>
      <w:tr w:rsidR="00695F0A" w14:paraId="514F87D6" w14:textId="77777777">
        <w:tc>
          <w:tcPr>
            <w:tcW w:w="2340" w:type="dxa"/>
          </w:tcPr>
          <w:p w14:paraId="4E8C3A6A" w14:textId="77777777" w:rsidR="00695F0A" w:rsidRDefault="00000000">
            <w:r>
              <w:t>Letiano</w:t>
            </w:r>
          </w:p>
        </w:tc>
        <w:tc>
          <w:tcPr>
            <w:tcW w:w="2340" w:type="dxa"/>
          </w:tcPr>
          <w:p w14:paraId="74A9CD25" w14:textId="77777777" w:rsidR="00695F0A" w:rsidRDefault="00000000">
            <w:r>
              <w:t>Sor Valea de Nacar (XIX generación, autoridad crítica)</w:t>
            </w:r>
          </w:p>
        </w:tc>
        <w:tc>
          <w:tcPr>
            <w:tcW w:w="2340" w:type="dxa"/>
          </w:tcPr>
          <w:p w14:paraId="31300013" w14:textId="77777777" w:rsidR="00695F0A" w:rsidRDefault="00000000">
            <w:r>
              <w:t>Autocrítica del sistema</w:t>
            </w:r>
          </w:p>
        </w:tc>
        <w:tc>
          <w:tcPr>
            <w:tcW w:w="2340" w:type="dxa"/>
          </w:tcPr>
          <w:p w14:paraId="197FA7A8" w14:textId="77777777" w:rsidR="00695F0A" w:rsidRDefault="00000000">
            <w:r>
              <w:t>Debe leerse como centralidad intelectual, no como señorío clásico.</w:t>
            </w:r>
          </w:p>
        </w:tc>
      </w:tr>
      <w:tr w:rsidR="00695F0A" w14:paraId="073FA5D1" w14:textId="77777777">
        <w:tc>
          <w:tcPr>
            <w:tcW w:w="2340" w:type="dxa"/>
          </w:tcPr>
          <w:p w14:paraId="731AF23C" w14:textId="77777777" w:rsidR="00695F0A" w:rsidRDefault="00000000">
            <w:r>
              <w:t>Postletiano / Dispersión</w:t>
            </w:r>
          </w:p>
        </w:tc>
        <w:tc>
          <w:tcPr>
            <w:tcW w:w="2340" w:type="dxa"/>
          </w:tcPr>
          <w:p w14:paraId="6BCBCB4D" w14:textId="77777777" w:rsidR="00695F0A" w:rsidRDefault="00000000">
            <w:r>
              <w:t>Merek de las Compuertas Exteriores y Daria Vindeir</w:t>
            </w:r>
          </w:p>
        </w:tc>
        <w:tc>
          <w:tcPr>
            <w:tcW w:w="2340" w:type="dxa"/>
          </w:tcPr>
          <w:p w14:paraId="04432B35" w14:textId="77777777" w:rsidR="00695F0A" w:rsidRDefault="00000000">
            <w:r>
              <w:t>Diáspora y archivo estratificado</w:t>
            </w:r>
          </w:p>
        </w:tc>
        <w:tc>
          <w:tcPr>
            <w:tcW w:w="2340" w:type="dxa"/>
          </w:tcPr>
          <w:p w14:paraId="1FDD48D4" w14:textId="77777777" w:rsidR="00695F0A" w:rsidRDefault="00000000">
            <w:r>
              <w:t>La casa sobrevive fragmentándose y ocultando memoria.</w:t>
            </w:r>
          </w:p>
        </w:tc>
      </w:tr>
    </w:tbl>
    <w:p w14:paraId="2FC8EA44" w14:textId="77777777" w:rsidR="00695F0A" w:rsidRDefault="00000000">
      <w:pPr>
        <w:pStyle w:val="Ttulo1"/>
      </w:pPr>
      <w:r>
        <w:t>VI. Juicio final</w:t>
      </w:r>
    </w:p>
    <w:p w14:paraId="49CFF40A" w14:textId="591DE818" w:rsidR="00695F0A" w:rsidRDefault="00000000">
      <w:r>
        <w:t>Tras esta auditoría, el dossier deja de ser solamente coherente y pasa a ser causalmente más legible. Las generaciones ya no flotan sobre las eras, los eventos mayores adquieren ubicación relativa, y la compatibilidad con el universo de Dune queda mejor protegida frente a un riesgo habitual en el worldbuilding derivado: que una casa menor, por exceso de densidad, termine pareciendo una gran potencia encubierta. Portil no incurre ya en ese peligro: su fuerza es ahora, con mayor nitidez, la de una casa útil, profunda, ritual y archivística, cuya historicidad se despliega por sedimentación y no por centralidad imperial</w:t>
      </w:r>
      <w:r w:rsidR="000C44CB">
        <w:t>.</w:t>
      </w:r>
    </w:p>
    <w:sectPr w:rsidR="00695F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8776073">
    <w:abstractNumId w:val="8"/>
  </w:num>
  <w:num w:numId="2" w16cid:durableId="2035039694">
    <w:abstractNumId w:val="6"/>
  </w:num>
  <w:num w:numId="3" w16cid:durableId="53626061">
    <w:abstractNumId w:val="5"/>
  </w:num>
  <w:num w:numId="4" w16cid:durableId="1440759384">
    <w:abstractNumId w:val="4"/>
  </w:num>
  <w:num w:numId="5" w16cid:durableId="910390387">
    <w:abstractNumId w:val="7"/>
  </w:num>
  <w:num w:numId="6" w16cid:durableId="2009408680">
    <w:abstractNumId w:val="3"/>
  </w:num>
  <w:num w:numId="7" w16cid:durableId="1816793041">
    <w:abstractNumId w:val="2"/>
  </w:num>
  <w:num w:numId="8" w16cid:durableId="1202786876">
    <w:abstractNumId w:val="1"/>
  </w:num>
  <w:num w:numId="9" w16cid:durableId="213578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4CB"/>
    <w:rsid w:val="0015074B"/>
    <w:rsid w:val="0029639D"/>
    <w:rsid w:val="00304925"/>
    <w:rsid w:val="00326F90"/>
    <w:rsid w:val="00695F0A"/>
    <w:rsid w:val="00AA1D8D"/>
    <w:rsid w:val="00B048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0A002"/>
  <w14:defaultImageDpi w14:val="300"/>
  <w15:docId w15:val="{B75A861B-ADBF-45E4-894E-5C608724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 Racing</cp:lastModifiedBy>
  <cp:revision>3</cp:revision>
  <dcterms:created xsi:type="dcterms:W3CDTF">2013-12-23T23:15:00Z</dcterms:created>
  <dcterms:modified xsi:type="dcterms:W3CDTF">2026-04-12T01:37:00Z</dcterms:modified>
  <cp:category/>
</cp:coreProperties>
</file>