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011C2" w14:textId="77777777" w:rsidR="00D321A1" w:rsidRDefault="00000000">
      <w:pPr>
        <w:pStyle w:val="Ttulo"/>
        <w:jc w:val="center"/>
      </w:pPr>
      <w:r>
        <w:t>Fe de erratas y normalización canónica</w:t>
      </w:r>
      <w:r>
        <w:br/>
      </w:r>
      <w:r>
        <w:rPr>
          <w:i/>
        </w:rPr>
        <w:t>Proyecto Dune – Casa Portil</w:t>
      </w:r>
    </w:p>
    <w:p w14:paraId="76963230" w14:textId="6987E64F" w:rsidR="00D321A1" w:rsidRDefault="00000000">
      <w:pPr>
        <w:jc w:val="both"/>
      </w:pPr>
      <w:r>
        <w:rPr>
          <w:b/>
        </w:rPr>
        <w:t xml:space="preserve">Documento revisado: </w:t>
      </w:r>
      <w:r>
        <w:t>Proyecto Dune - Casa Portil - Dossier maestro integrado. La presente fe de erratas consigna las correcciones aplicadas tras la revisión de consistencia interna del volumen unificado. Se distinguen tres enmiendas sustantivas y un ajuste cronológico complementario</w:t>
      </w:r>
      <w:r w:rsidR="00DF0B01">
        <w:t>.</w:t>
      </w:r>
    </w:p>
    <w:p w14:paraId="7B105F3C" w14:textId="77777777" w:rsidR="00D321A1" w:rsidRDefault="00000000">
      <w:pPr>
        <w:pStyle w:val="Ttulo1"/>
      </w:pPr>
      <w:r>
        <w:t>1. Corrección litúrgico-genealógica</w:t>
      </w:r>
    </w:p>
    <w:p w14:paraId="3E226E1E" w14:textId="77777777" w:rsidR="00D321A1" w:rsidRDefault="00000000">
      <w:pPr>
        <w:jc w:val="both"/>
      </w:pPr>
      <w:r>
        <w:rPr>
          <w:b/>
        </w:rPr>
        <w:t xml:space="preserve">Ubicación: </w:t>
      </w:r>
      <w:r>
        <w:t>Libro III, III.8, “Liturgia completa de la Investidura del Aforo”.</w:t>
      </w:r>
    </w:p>
    <w:p w14:paraId="49E74F56" w14:textId="77777777" w:rsidR="00D321A1" w:rsidRDefault="00000000">
      <w:pPr>
        <w:jc w:val="both"/>
      </w:pPr>
      <w:r>
        <w:rPr>
          <w:b/>
        </w:rPr>
        <w:t xml:space="preserve">Lectura anterior: </w:t>
      </w:r>
      <w:r>
        <w:t>«de la que cantó la Serena»</w:t>
      </w:r>
    </w:p>
    <w:p w14:paraId="49DB794C" w14:textId="77777777" w:rsidR="00D321A1" w:rsidRDefault="00000000">
      <w:pPr>
        <w:jc w:val="both"/>
      </w:pPr>
      <w:r>
        <w:rPr>
          <w:b/>
        </w:rPr>
        <w:t xml:space="preserve">Lectura corregida: </w:t>
      </w:r>
      <w:r>
        <w:t>«de la que cantó la Devuelta»</w:t>
      </w:r>
    </w:p>
    <w:p w14:paraId="03C93766" w14:textId="77777777" w:rsidR="00D321A1" w:rsidRDefault="00000000">
      <w:pPr>
        <w:jc w:val="both"/>
      </w:pPr>
      <w:r>
        <w:rPr>
          <w:b/>
        </w:rPr>
        <w:t xml:space="preserve">Justificación: </w:t>
      </w:r>
      <w:r>
        <w:t>La fórmula de investidura estaba desplazando hacia Ildara un motivo asociado a Serena. La corrección restituye la referencia propia de la sexta generación, vinculada al Canto de la Devuelta, y mantiene intacta la cadencia ritual del pasaje.</w:t>
      </w:r>
    </w:p>
    <w:p w14:paraId="595EEEEA" w14:textId="77777777" w:rsidR="00D321A1" w:rsidRDefault="00000000">
      <w:pPr>
        <w:pStyle w:val="Ttulo1"/>
      </w:pPr>
      <w:r>
        <w:t>2. Normalización onomástica de la figura fundacional</w:t>
      </w:r>
    </w:p>
    <w:p w14:paraId="2A005CF4" w14:textId="77777777" w:rsidR="00D321A1" w:rsidRDefault="00000000">
      <w:pPr>
        <w:jc w:val="both"/>
      </w:pPr>
      <w:r>
        <w:rPr>
          <w:b/>
        </w:rPr>
        <w:t xml:space="preserve">Ubicación: </w:t>
      </w:r>
      <w:r>
        <w:t>Libro I, XIII, “Era III. Implantación profética”.</w:t>
      </w:r>
    </w:p>
    <w:p w14:paraId="6AFABD3A" w14:textId="77777777" w:rsidR="00D321A1" w:rsidRDefault="00000000">
      <w:pPr>
        <w:jc w:val="both"/>
      </w:pPr>
      <w:r>
        <w:rPr>
          <w:b/>
        </w:rPr>
        <w:t xml:space="preserve">Lectura anterior: </w:t>
      </w:r>
      <w:r>
        <w:t>«Mujer de la Profundidad Serena»</w:t>
      </w:r>
    </w:p>
    <w:p w14:paraId="303A49F1" w14:textId="77777777" w:rsidR="00D321A1" w:rsidRDefault="00000000">
      <w:pPr>
        <w:jc w:val="both"/>
      </w:pPr>
      <w:r>
        <w:rPr>
          <w:b/>
        </w:rPr>
        <w:t xml:space="preserve">Lectura corregida: </w:t>
      </w:r>
      <w:r>
        <w:t>«Serena de la Profundidad»</w:t>
      </w:r>
    </w:p>
    <w:p w14:paraId="47335D5F" w14:textId="77777777" w:rsidR="00D321A1" w:rsidRDefault="00000000">
      <w:pPr>
        <w:jc w:val="both"/>
      </w:pPr>
      <w:r>
        <w:rPr>
          <w:b/>
        </w:rPr>
        <w:t xml:space="preserve">Justificación: </w:t>
      </w:r>
      <w:r>
        <w:t>Se unifica la denominación de la figura hierofánica asociada al origen profundo del Rito del Río, eliminando la oscilación nominativa entre distintas fórmulas.</w:t>
      </w:r>
    </w:p>
    <w:p w14:paraId="1891CF8B" w14:textId="77777777" w:rsidR="00D321A1" w:rsidRDefault="00000000">
      <w:pPr>
        <w:pStyle w:val="Ttulo1"/>
      </w:pPr>
      <w:r>
        <w:t>3. Aclaración del estatuto de Sor Valea de Nacar</w:t>
      </w:r>
    </w:p>
    <w:p w14:paraId="2CD3CCA8" w14:textId="77777777" w:rsidR="00D321A1" w:rsidRDefault="00000000">
      <w:pPr>
        <w:jc w:val="both"/>
      </w:pPr>
      <w:r>
        <w:rPr>
          <w:b/>
        </w:rPr>
        <w:t xml:space="preserve">Ubicación: </w:t>
      </w:r>
      <w:r>
        <w:t>Libro III, II, “Decimonovena generación: Sor Valea de Nacar y el tiempo de las Lecturas”.</w:t>
      </w:r>
    </w:p>
    <w:p w14:paraId="545F159B" w14:textId="77777777" w:rsidR="00D321A1" w:rsidRDefault="00000000">
      <w:pPr>
        <w:jc w:val="both"/>
      </w:pPr>
      <w:r>
        <w:rPr>
          <w:b/>
        </w:rPr>
        <w:t xml:space="preserve">Lectura anterior: </w:t>
      </w:r>
      <w:r>
        <w:t>Redacción anterior sin explicitación del estatuto político de Sor Valea.</w:t>
      </w:r>
    </w:p>
    <w:p w14:paraId="5ECCCD93" w14:textId="77777777" w:rsidR="00D321A1" w:rsidRDefault="00000000">
      <w:pPr>
        <w:jc w:val="both"/>
      </w:pPr>
      <w:r>
        <w:rPr>
          <w:b/>
        </w:rPr>
        <w:t xml:space="preserve">Lectura corregida: </w:t>
      </w:r>
      <w:r>
        <w:t>Se añade la precisión: «no como señora soberana plena sino como figura tutelar e intelectual de la generación letiana».</w:t>
      </w:r>
    </w:p>
    <w:p w14:paraId="71F75A50" w14:textId="77777777" w:rsidR="00D321A1" w:rsidRDefault="00000000">
      <w:pPr>
        <w:jc w:val="both"/>
      </w:pPr>
      <w:r>
        <w:rPr>
          <w:b/>
        </w:rPr>
        <w:t xml:space="preserve">Justificación: </w:t>
      </w:r>
      <w:r>
        <w:t>La crónica dinástica conservaba una ambigüedad innecesaria sobre la naturaleza de su centralidad. La adición aclara su función generacional e intelectual sin forzarla a encajar como soberana clásica.</w:t>
      </w:r>
    </w:p>
    <w:p w14:paraId="3950AE11" w14:textId="77777777" w:rsidR="00D321A1" w:rsidRDefault="00000000">
      <w:pPr>
        <w:pStyle w:val="Ttulo1"/>
      </w:pPr>
      <w:r>
        <w:lastRenderedPageBreak/>
        <w:t>4. Ajuste cronológico complementario</w:t>
      </w:r>
    </w:p>
    <w:p w14:paraId="67329784" w14:textId="77777777" w:rsidR="00D321A1" w:rsidRDefault="00000000">
      <w:pPr>
        <w:jc w:val="both"/>
      </w:pPr>
      <w:r>
        <w:rPr>
          <w:b/>
        </w:rPr>
        <w:t xml:space="preserve">Ubicación: </w:t>
      </w:r>
      <w:r>
        <w:t>Libro I, XIII, cronología sintética.</w:t>
      </w:r>
    </w:p>
    <w:p w14:paraId="1AEB9EE3" w14:textId="77777777" w:rsidR="00D321A1" w:rsidRDefault="00000000">
      <w:pPr>
        <w:jc w:val="both"/>
      </w:pPr>
      <w:r>
        <w:rPr>
          <w:b/>
        </w:rPr>
        <w:t xml:space="preserve">Lectura anterior: </w:t>
      </w:r>
      <w:r>
        <w:t>La cronología operativa se cerraba en la Era XIV, pese a que el volumen se proyecta hasta la Dispersión.</w:t>
      </w:r>
    </w:p>
    <w:p w14:paraId="5C3B2E93" w14:textId="77777777" w:rsidR="00D321A1" w:rsidRDefault="00000000">
      <w:pPr>
        <w:jc w:val="both"/>
      </w:pPr>
      <w:r>
        <w:rPr>
          <w:b/>
        </w:rPr>
        <w:t xml:space="preserve">Lectura corregida: </w:t>
      </w:r>
      <w:r>
        <w:t>Se añade una nueva entrada: «Era XV. Dispersión y archivo estratificado».</w:t>
      </w:r>
    </w:p>
    <w:p w14:paraId="65769B83" w14:textId="77777777" w:rsidR="00D321A1" w:rsidRDefault="00000000">
      <w:pPr>
        <w:jc w:val="both"/>
      </w:pPr>
      <w:r>
        <w:rPr>
          <w:b/>
        </w:rPr>
        <w:t xml:space="preserve">Justificación: </w:t>
      </w:r>
      <w:r>
        <w:t>No se trataba de una contradicción grave, pero sí de una asimetría de cierre. El añadido armoniza la ficha operativa del Libro I con el desarrollo longitudinal del Libro II y con la proyección postletiana del Corpus.</w:t>
      </w:r>
    </w:p>
    <w:p w14:paraId="1238CFD4" w14:textId="77777777" w:rsidR="00D321A1" w:rsidRDefault="00000000">
      <w:pPr>
        <w:jc w:val="both"/>
      </w:pPr>
      <w:r>
        <w:rPr>
          <w:b/>
        </w:rPr>
        <w:t xml:space="preserve">Resultado editorial: </w:t>
      </w:r>
      <w:r>
        <w:t>la versión corregida del dossier puede considerarse, tras estas enmiendas, suficientemente depurada en materia de secuencia temporal, identificación de personajes y coherencia interna de las atribuciones simbólicas.</w:t>
      </w:r>
    </w:p>
    <w:sectPr w:rsidR="00D321A1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847848">
    <w:abstractNumId w:val="8"/>
  </w:num>
  <w:num w:numId="2" w16cid:durableId="1469324606">
    <w:abstractNumId w:val="6"/>
  </w:num>
  <w:num w:numId="3" w16cid:durableId="1494681814">
    <w:abstractNumId w:val="5"/>
  </w:num>
  <w:num w:numId="4" w16cid:durableId="1234463234">
    <w:abstractNumId w:val="4"/>
  </w:num>
  <w:num w:numId="5" w16cid:durableId="1582981503">
    <w:abstractNumId w:val="7"/>
  </w:num>
  <w:num w:numId="6" w16cid:durableId="1743943028">
    <w:abstractNumId w:val="3"/>
  </w:num>
  <w:num w:numId="7" w16cid:durableId="353966472">
    <w:abstractNumId w:val="2"/>
  </w:num>
  <w:num w:numId="8" w16cid:durableId="1813524438">
    <w:abstractNumId w:val="1"/>
  </w:num>
  <w:num w:numId="9" w16cid:durableId="145794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321A1"/>
    <w:rsid w:val="00D97390"/>
    <w:rsid w:val="00DF0B01"/>
    <w:rsid w:val="00F038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8FAE58"/>
  <w14:defaultImageDpi w14:val="300"/>
  <w15:docId w15:val="{DBFDF05D-EA88-4A54-AB9B-C71A7520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 Racing</cp:lastModifiedBy>
  <cp:revision>3</cp:revision>
  <dcterms:created xsi:type="dcterms:W3CDTF">2013-12-23T23:15:00Z</dcterms:created>
  <dcterms:modified xsi:type="dcterms:W3CDTF">2026-04-12T01:37:00Z</dcterms:modified>
  <cp:category/>
</cp:coreProperties>
</file>