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B1BC9" w14:textId="610487D3" w:rsidR="004B34D1" w:rsidRDefault="00731E18" w:rsidP="00731E18">
      <w:pPr>
        <w:jc w:val="center"/>
        <w:rPr>
          <w:rFonts w:ascii="Times New Roman" w:hAnsi="Times New Roman" w:cs="Times New Roman"/>
          <w:sz w:val="24"/>
          <w:szCs w:val="24"/>
        </w:rPr>
      </w:pPr>
      <w:r>
        <w:rPr>
          <w:rFonts w:ascii="Times New Roman" w:hAnsi="Times New Roman" w:cs="Times New Roman"/>
          <w:sz w:val="24"/>
          <w:szCs w:val="24"/>
        </w:rPr>
        <w:t xml:space="preserve">Proyecto </w:t>
      </w:r>
      <w:proofErr w:type="spellStart"/>
      <w:r>
        <w:rPr>
          <w:rFonts w:ascii="Times New Roman" w:hAnsi="Times New Roman" w:cs="Times New Roman"/>
          <w:sz w:val="24"/>
          <w:szCs w:val="24"/>
        </w:rPr>
        <w:t>Dune</w:t>
      </w:r>
      <w:proofErr w:type="spellEnd"/>
    </w:p>
    <w:p w14:paraId="53FF4B89" w14:textId="77777777" w:rsidR="00731E18" w:rsidRDefault="00731E18" w:rsidP="00731E18">
      <w:pPr>
        <w:jc w:val="center"/>
        <w:rPr>
          <w:rFonts w:ascii="Times New Roman" w:hAnsi="Times New Roman" w:cs="Times New Roman"/>
          <w:sz w:val="24"/>
          <w:szCs w:val="24"/>
        </w:rPr>
      </w:pPr>
    </w:p>
    <w:p w14:paraId="4F4A1D86" w14:textId="70B189C2" w:rsidR="00731E18" w:rsidRDefault="00731E18" w:rsidP="00731E18">
      <w:pPr>
        <w:jc w:val="both"/>
        <w:rPr>
          <w:rFonts w:ascii="Times New Roman" w:hAnsi="Times New Roman" w:cs="Times New Roman"/>
          <w:sz w:val="24"/>
          <w:szCs w:val="24"/>
        </w:rPr>
      </w:pPr>
      <w:r w:rsidRPr="00731E18">
        <w:rPr>
          <w:rFonts w:ascii="Times New Roman" w:hAnsi="Times New Roman" w:cs="Times New Roman"/>
          <w:sz w:val="24"/>
          <w:szCs w:val="24"/>
        </w:rPr>
        <w:t>Justificación del modelo jugable y del diseño sistémico</w:t>
      </w:r>
    </w:p>
    <w:p w14:paraId="2B80DCE9" w14:textId="41301952" w:rsidR="00731E18" w:rsidRPr="00731E18" w:rsidRDefault="00731E18" w:rsidP="00731E18">
      <w:pPr>
        <w:jc w:val="both"/>
        <w:rPr>
          <w:rFonts w:ascii="Times New Roman" w:hAnsi="Times New Roman" w:cs="Times New Roman"/>
          <w:sz w:val="24"/>
          <w:szCs w:val="24"/>
        </w:rPr>
      </w:pPr>
      <w:r w:rsidRPr="00731E18">
        <w:rPr>
          <w:rFonts w:ascii="Times New Roman" w:hAnsi="Times New Roman" w:cs="Times New Roman"/>
          <w:sz w:val="24"/>
          <w:szCs w:val="24"/>
        </w:rPr>
        <w:t>Planteamiento general del modelo propuesto</w:t>
      </w:r>
    </w:p>
    <w:p w14:paraId="09A793B7"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El proyecto “</w:t>
      </w:r>
      <w:proofErr w:type="spellStart"/>
      <w:r w:rsidRPr="00731E18">
        <w:rPr>
          <w:rFonts w:ascii="Times New Roman" w:hAnsi="Times New Roman" w:cs="Times New Roman"/>
          <w:color w:val="4472C4" w:themeColor="accent1"/>
          <w:sz w:val="24"/>
          <w:szCs w:val="24"/>
        </w:rPr>
        <w:t>Dune</w:t>
      </w:r>
      <w:proofErr w:type="spellEnd"/>
      <w:r w:rsidRPr="00731E18">
        <w:rPr>
          <w:rFonts w:ascii="Times New Roman" w:hAnsi="Times New Roman" w:cs="Times New Roman"/>
          <w:color w:val="4472C4" w:themeColor="accent1"/>
          <w:sz w:val="24"/>
          <w:szCs w:val="24"/>
        </w:rPr>
        <w:t xml:space="preserve">: Arrakis Dominion </w:t>
      </w:r>
      <w:proofErr w:type="spellStart"/>
      <w:r w:rsidRPr="00731E18">
        <w:rPr>
          <w:rFonts w:ascii="Times New Roman" w:hAnsi="Times New Roman" w:cs="Times New Roman"/>
          <w:color w:val="4472C4" w:themeColor="accent1"/>
          <w:sz w:val="24"/>
          <w:szCs w:val="24"/>
        </w:rPr>
        <w:t>Distributed</w:t>
      </w:r>
      <w:proofErr w:type="spellEnd"/>
      <w:r w:rsidRPr="00731E18">
        <w:rPr>
          <w:rFonts w:ascii="Times New Roman" w:hAnsi="Times New Roman" w:cs="Times New Roman"/>
          <w:color w:val="4472C4" w:themeColor="accent1"/>
          <w:sz w:val="24"/>
          <w:szCs w:val="24"/>
        </w:rPr>
        <w:t>” exige una solución lúdica y técnica que no puede resolverse con solvencia ni desde el paradigma del gran juego de guerra, ni desde el del juego de rol de exploración, ni desde el del simulador urbano entendido en su forma clásica. El enunciado reclama, antes bien, un prototipo administrable en el que el jugador gobierna una Casa Menor, sostiene una operación rentable en un medio hostil, distribuye recursos escasos, gestiona criaturas e instalaciones especializadas y, al mismo tiempo, articula todo ello sobre una arquitectura distribuida compuesta, como mínimo, por un cliente de administración, un servicio de simulación y un servicio de persistencia. En consecuencia, la cuestión central no es meramente estética, sino estructural: se trata de determinar qué gramática jugable permite traducir con mayor fidelidad un problema de coordinación sistémica, presión ambiental, cálculo económico y control técnico.</w:t>
      </w:r>
    </w:p>
    <w:p w14:paraId="7CDA8860"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La propuesta más consistente consiste en situar a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como matriz principal del ritmo y de la tensión del sistema, a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xml:space="preserve">: Skylines como modelo de lectura espacial, planificación de enclaves y visualización agregada del estado, y a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como apoyo parcial para conferir a la Casa Menor una textura económica, corporativa e institucional más marcada. Esta síntesis no debe entenderse como una yuxtaposición arbitraria de referencias, sino como una operación de especialización funcional. De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se tomaría la lógica de supervivencia estratégica bajo condiciones adversas; de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xml:space="preserve">: Skylines, la claridad del centro de mando y la organización modular de infraestructuras; de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el principio según el cual la unidad jugable no es una administración abstracta, sino una organización con intereses patrimoniales, continuidad y necesidad de rentabilidad.</w:t>
      </w:r>
    </w:p>
    <w:p w14:paraId="66AED437" w14:textId="77777777" w:rsidR="00731E18" w:rsidRPr="00731E18" w:rsidRDefault="00731E18" w:rsidP="00731E18">
      <w:pPr>
        <w:jc w:val="both"/>
        <w:rPr>
          <w:rFonts w:ascii="Times New Roman" w:hAnsi="Times New Roman" w:cs="Times New Roman"/>
          <w:sz w:val="24"/>
          <w:szCs w:val="24"/>
        </w:rPr>
      </w:pPr>
      <w:r w:rsidRPr="00731E18">
        <w:rPr>
          <w:rFonts w:ascii="Times New Roman" w:hAnsi="Times New Roman" w:cs="Times New Roman"/>
          <w:sz w:val="24"/>
          <w:szCs w:val="24"/>
        </w:rPr>
        <w:t>2. Función específica de cada referente en la síntesis</w:t>
      </w:r>
    </w:p>
    <w:p w14:paraId="7D5A17E2" w14:textId="5C10403C" w:rsidR="00731E18" w:rsidRDefault="00731E18" w:rsidP="00731E18">
      <w:pPr>
        <w:ind w:firstLine="708"/>
        <w:jc w:val="both"/>
        <w:rPr>
          <w:rFonts w:ascii="Times New Roman" w:hAnsi="Times New Roman" w:cs="Times New Roman"/>
          <w:sz w:val="24"/>
          <w:szCs w:val="24"/>
        </w:rPr>
      </w:pPr>
      <w:r w:rsidRPr="00731E18">
        <w:rPr>
          <w:rFonts w:ascii="Times New Roman" w:hAnsi="Times New Roman" w:cs="Times New Roman"/>
          <w:sz w:val="24"/>
          <w:szCs w:val="24"/>
        </w:rPr>
        <w:t>La combinación puede expresarse de manera sintética en la tabla siguiente, cuyo propósito no es reducir el proyecto a una fórmula cerrada, sino identificar el cometido preciso de cada influencia dentro del diseño general.</w:t>
      </w:r>
    </w:p>
    <w:tbl>
      <w:tblPr>
        <w:tblStyle w:val="Tablaconcuadrcula"/>
        <w:tblW w:w="0" w:type="auto"/>
        <w:tblLayout w:type="fixed"/>
        <w:tblLook w:val="04A0" w:firstRow="1" w:lastRow="0" w:firstColumn="1" w:lastColumn="0" w:noHBand="0" w:noVBand="1"/>
      </w:tblPr>
      <w:tblGrid>
        <w:gridCol w:w="1701"/>
        <w:gridCol w:w="3118"/>
        <w:gridCol w:w="3969"/>
      </w:tblGrid>
      <w:tr w:rsidR="00731E18" w:rsidRPr="00731E18" w14:paraId="4BE97F78" w14:textId="77777777" w:rsidTr="00731E18">
        <w:trPr>
          <w:tblHeader/>
        </w:trPr>
        <w:tc>
          <w:tcPr>
            <w:tcW w:w="1701" w:type="dxa"/>
            <w:shd w:val="clear" w:color="auto" w:fill="B4C6E7" w:themeFill="accent1" w:themeFillTint="66"/>
            <w:tcMar>
              <w:top w:w="90" w:type="dxa"/>
              <w:left w:w="120" w:type="dxa"/>
              <w:bottom w:w="90" w:type="dxa"/>
              <w:right w:w="120" w:type="dxa"/>
            </w:tcMar>
            <w:vAlign w:val="center"/>
          </w:tcPr>
          <w:p w14:paraId="57FDB155" w14:textId="77777777" w:rsidR="00731E18" w:rsidRPr="00731E18" w:rsidRDefault="00731E18" w:rsidP="00731E18">
            <w:pPr>
              <w:jc w:val="center"/>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14:ligatures w14:val="none"/>
              </w:rPr>
              <w:t>Referencia</w:t>
            </w:r>
            <w:proofErr w:type="spellEnd"/>
          </w:p>
        </w:tc>
        <w:tc>
          <w:tcPr>
            <w:tcW w:w="3118" w:type="dxa"/>
            <w:shd w:val="clear" w:color="auto" w:fill="B4C6E7" w:themeFill="accent1" w:themeFillTint="66"/>
            <w:tcMar>
              <w:top w:w="90" w:type="dxa"/>
              <w:left w:w="120" w:type="dxa"/>
              <w:bottom w:w="90" w:type="dxa"/>
              <w:right w:w="120" w:type="dxa"/>
            </w:tcMar>
            <w:vAlign w:val="center"/>
          </w:tcPr>
          <w:p w14:paraId="3A88E451" w14:textId="77777777" w:rsidR="00731E18" w:rsidRPr="00731E18" w:rsidRDefault="00731E18" w:rsidP="00731E18">
            <w:pPr>
              <w:jc w:val="center"/>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14:ligatures w14:val="none"/>
              </w:rPr>
              <w:t>Aportación</w:t>
            </w:r>
            <w:proofErr w:type="spellEnd"/>
            <w:r w:rsidRPr="00731E18">
              <w:rPr>
                <w:rFonts w:ascii="Times New Roman" w:eastAsia="Times New Roman" w:hAnsi="Times New Roman" w:cs="Times New Roman"/>
                <w:bCs/>
                <w14:ligatures w14:val="none"/>
              </w:rPr>
              <w:t xml:space="preserve"> principal</w:t>
            </w:r>
          </w:p>
        </w:tc>
        <w:tc>
          <w:tcPr>
            <w:tcW w:w="3969" w:type="dxa"/>
            <w:shd w:val="clear" w:color="auto" w:fill="B4C6E7" w:themeFill="accent1" w:themeFillTint="66"/>
            <w:tcMar>
              <w:top w:w="90" w:type="dxa"/>
              <w:left w:w="120" w:type="dxa"/>
              <w:bottom w:w="90" w:type="dxa"/>
              <w:right w:w="120" w:type="dxa"/>
            </w:tcMar>
            <w:vAlign w:val="center"/>
          </w:tcPr>
          <w:p w14:paraId="30ABDA7B" w14:textId="77777777" w:rsidR="00731E18" w:rsidRPr="00731E18" w:rsidRDefault="00731E18" w:rsidP="00731E18">
            <w:pPr>
              <w:jc w:val="center"/>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14:ligatures w14:val="none"/>
              </w:rPr>
              <w:t>Traslación</w:t>
            </w:r>
            <w:proofErr w:type="spellEnd"/>
            <w:r w:rsidRPr="00731E18">
              <w:rPr>
                <w:rFonts w:ascii="Times New Roman" w:eastAsia="Times New Roman" w:hAnsi="Times New Roman" w:cs="Times New Roman"/>
                <w:bCs/>
                <w14:ligatures w14:val="none"/>
              </w:rPr>
              <w:t xml:space="preserve"> al </w:t>
            </w:r>
            <w:proofErr w:type="spellStart"/>
            <w:r w:rsidRPr="00731E18">
              <w:rPr>
                <w:rFonts w:ascii="Times New Roman" w:eastAsia="Times New Roman" w:hAnsi="Times New Roman" w:cs="Times New Roman"/>
                <w:bCs/>
                <w14:ligatures w14:val="none"/>
              </w:rPr>
              <w:t>proyecto</w:t>
            </w:r>
            <w:proofErr w:type="spellEnd"/>
          </w:p>
        </w:tc>
      </w:tr>
      <w:tr w:rsidR="00731E18" w:rsidRPr="00731E18" w14:paraId="6374C673" w14:textId="77777777" w:rsidTr="00731E18">
        <w:tc>
          <w:tcPr>
            <w:tcW w:w="1701" w:type="dxa"/>
            <w:tcMar>
              <w:top w:w="110" w:type="dxa"/>
              <w:left w:w="120" w:type="dxa"/>
              <w:bottom w:w="110" w:type="dxa"/>
              <w:right w:w="120" w:type="dxa"/>
            </w:tcMar>
            <w:vAlign w:val="center"/>
          </w:tcPr>
          <w:p w14:paraId="57CBEFD1" w14:textId="77777777" w:rsidR="00731E18" w:rsidRPr="00731E18" w:rsidRDefault="00731E18" w:rsidP="00731E18">
            <w:pPr>
              <w:spacing w:line="276" w:lineRule="auto"/>
              <w:jc w:val="center"/>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sz w:val="21"/>
                <w14:ligatures w14:val="none"/>
              </w:rPr>
              <w:t>Frostpunk</w:t>
            </w:r>
            <w:proofErr w:type="spellEnd"/>
          </w:p>
        </w:tc>
        <w:tc>
          <w:tcPr>
            <w:tcW w:w="3118" w:type="dxa"/>
            <w:tcMar>
              <w:top w:w="110" w:type="dxa"/>
              <w:left w:w="120" w:type="dxa"/>
              <w:bottom w:w="110" w:type="dxa"/>
              <w:right w:w="120" w:type="dxa"/>
            </w:tcMar>
            <w:vAlign w:val="center"/>
          </w:tcPr>
          <w:p w14:paraId="45BBFADE" w14:textId="77777777" w:rsidR="00731E18" w:rsidRPr="00731E18" w:rsidRDefault="00731E18" w:rsidP="00731E18">
            <w:pPr>
              <w:spacing w:line="276" w:lineRule="auto"/>
              <w:jc w:val="both"/>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sz w:val="21"/>
                <w14:ligatures w14:val="none"/>
              </w:rPr>
              <w:t>Presión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ambiental</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escasez</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rondas</w:t>
            </w:r>
            <w:proofErr w:type="spellEnd"/>
            <w:r w:rsidRPr="00731E18">
              <w:rPr>
                <w:rFonts w:ascii="Times New Roman" w:eastAsia="Times New Roman" w:hAnsi="Times New Roman" w:cs="Times New Roman"/>
                <w:bCs/>
                <w:sz w:val="21"/>
                <w14:ligatures w14:val="none"/>
              </w:rPr>
              <w:t xml:space="preserve"> con </w:t>
            </w:r>
            <w:proofErr w:type="spellStart"/>
            <w:r w:rsidRPr="00731E18">
              <w:rPr>
                <w:rFonts w:ascii="Times New Roman" w:eastAsia="Times New Roman" w:hAnsi="Times New Roman" w:cs="Times New Roman"/>
                <w:bCs/>
                <w:sz w:val="21"/>
                <w14:ligatures w14:val="none"/>
              </w:rPr>
              <w:t>consecuencias</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acumulativas</w:t>
            </w:r>
            <w:proofErr w:type="spellEnd"/>
            <w:r w:rsidRPr="00731E18">
              <w:rPr>
                <w:rFonts w:ascii="Times New Roman" w:eastAsia="Times New Roman" w:hAnsi="Times New Roman" w:cs="Times New Roman"/>
                <w:bCs/>
                <w:sz w:val="21"/>
                <w14:ligatures w14:val="none"/>
              </w:rPr>
              <w:t xml:space="preserve"> y </w:t>
            </w:r>
            <w:proofErr w:type="spellStart"/>
            <w:r w:rsidRPr="00731E18">
              <w:rPr>
                <w:rFonts w:ascii="Times New Roman" w:eastAsia="Times New Roman" w:hAnsi="Times New Roman" w:cs="Times New Roman"/>
                <w:bCs/>
                <w:sz w:val="21"/>
                <w14:ligatures w14:val="none"/>
              </w:rPr>
              <w:t>toma</w:t>
            </w:r>
            <w:proofErr w:type="spellEnd"/>
            <w:r w:rsidRPr="00731E18">
              <w:rPr>
                <w:rFonts w:ascii="Times New Roman" w:eastAsia="Times New Roman" w:hAnsi="Times New Roman" w:cs="Times New Roman"/>
                <w:bCs/>
                <w:sz w:val="21"/>
                <w14:ligatures w14:val="none"/>
              </w:rPr>
              <w:t xml:space="preserve"> de </w:t>
            </w:r>
            <w:proofErr w:type="spellStart"/>
            <w:r w:rsidRPr="00731E18">
              <w:rPr>
                <w:rFonts w:ascii="Times New Roman" w:eastAsia="Times New Roman" w:hAnsi="Times New Roman" w:cs="Times New Roman"/>
                <w:bCs/>
                <w:sz w:val="21"/>
                <w14:ligatures w14:val="none"/>
              </w:rPr>
              <w:t>decisiones</w:t>
            </w:r>
            <w:proofErr w:type="spellEnd"/>
            <w:r w:rsidRPr="00731E18">
              <w:rPr>
                <w:rFonts w:ascii="Times New Roman" w:eastAsia="Times New Roman" w:hAnsi="Times New Roman" w:cs="Times New Roman"/>
                <w:bCs/>
                <w:sz w:val="21"/>
                <w14:ligatures w14:val="none"/>
              </w:rPr>
              <w:t xml:space="preserve"> bajo </w:t>
            </w:r>
            <w:proofErr w:type="spellStart"/>
            <w:r w:rsidRPr="00731E18">
              <w:rPr>
                <w:rFonts w:ascii="Times New Roman" w:eastAsia="Times New Roman" w:hAnsi="Times New Roman" w:cs="Times New Roman"/>
                <w:bCs/>
                <w:sz w:val="21"/>
                <w14:ligatures w14:val="none"/>
              </w:rPr>
              <w:t>tensión</w:t>
            </w:r>
            <w:proofErr w:type="spellEnd"/>
            <w:r w:rsidRPr="00731E18">
              <w:rPr>
                <w:rFonts w:ascii="Times New Roman" w:eastAsia="Times New Roman" w:hAnsi="Times New Roman" w:cs="Times New Roman"/>
                <w:bCs/>
                <w:sz w:val="21"/>
                <w14:ligatures w14:val="none"/>
              </w:rPr>
              <w:t>.</w:t>
            </w:r>
          </w:p>
        </w:tc>
        <w:tc>
          <w:tcPr>
            <w:tcW w:w="3969" w:type="dxa"/>
            <w:tcMar>
              <w:top w:w="110" w:type="dxa"/>
              <w:left w:w="120" w:type="dxa"/>
              <w:bottom w:w="110" w:type="dxa"/>
              <w:right w:w="120" w:type="dxa"/>
            </w:tcMar>
            <w:vAlign w:val="center"/>
          </w:tcPr>
          <w:p w14:paraId="5793FD99" w14:textId="77777777" w:rsidR="00731E18" w:rsidRPr="00731E18" w:rsidRDefault="00731E18" w:rsidP="00731E18">
            <w:pPr>
              <w:spacing w:line="276" w:lineRule="auto"/>
              <w:jc w:val="both"/>
              <w:rPr>
                <w:rFonts w:ascii="Times New Roman" w:eastAsia="Times New Roman" w:hAnsi="Times New Roman" w:cs="Times New Roman"/>
                <w:bCs/>
                <w:sz w:val="24"/>
                <w14:ligatures w14:val="none"/>
              </w:rPr>
            </w:pPr>
            <w:r w:rsidRPr="00731E18">
              <w:rPr>
                <w:rFonts w:ascii="Times New Roman" w:eastAsia="Times New Roman" w:hAnsi="Times New Roman" w:cs="Times New Roman"/>
                <w:bCs/>
                <w:sz w:val="21"/>
                <w14:ligatures w14:val="none"/>
              </w:rPr>
              <w:t xml:space="preserve">El </w:t>
            </w:r>
            <w:proofErr w:type="spellStart"/>
            <w:r w:rsidRPr="00731E18">
              <w:rPr>
                <w:rFonts w:ascii="Times New Roman" w:eastAsia="Times New Roman" w:hAnsi="Times New Roman" w:cs="Times New Roman"/>
                <w:bCs/>
                <w:sz w:val="21"/>
                <w14:ligatures w14:val="none"/>
              </w:rPr>
              <w:t>servicio</w:t>
            </w:r>
            <w:proofErr w:type="spellEnd"/>
            <w:r w:rsidRPr="00731E18">
              <w:rPr>
                <w:rFonts w:ascii="Times New Roman" w:eastAsia="Times New Roman" w:hAnsi="Times New Roman" w:cs="Times New Roman"/>
                <w:bCs/>
                <w:sz w:val="21"/>
                <w14:ligatures w14:val="none"/>
              </w:rPr>
              <w:t xml:space="preserve"> de </w:t>
            </w:r>
            <w:proofErr w:type="spellStart"/>
            <w:r w:rsidRPr="00731E18">
              <w:rPr>
                <w:rFonts w:ascii="Times New Roman" w:eastAsia="Times New Roman" w:hAnsi="Times New Roman" w:cs="Times New Roman"/>
                <w:bCs/>
                <w:sz w:val="21"/>
                <w14:ligatures w14:val="none"/>
              </w:rPr>
              <w:t>simulación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recalcula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mensualmente</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alimentación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salud</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reproducción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visitantes</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fondos</w:t>
            </w:r>
            <w:proofErr w:type="spellEnd"/>
            <w:r w:rsidRPr="00731E18">
              <w:rPr>
                <w:rFonts w:ascii="Times New Roman" w:eastAsia="Times New Roman" w:hAnsi="Times New Roman" w:cs="Times New Roman"/>
                <w:bCs/>
                <w:sz w:val="21"/>
                <w14:ligatures w14:val="none"/>
              </w:rPr>
              <w:t xml:space="preserve"> y </w:t>
            </w:r>
            <w:proofErr w:type="spellStart"/>
            <w:r w:rsidRPr="00731E18">
              <w:rPr>
                <w:rFonts w:ascii="Times New Roman" w:eastAsia="Times New Roman" w:hAnsi="Times New Roman" w:cs="Times New Roman"/>
                <w:bCs/>
                <w:sz w:val="21"/>
                <w14:ligatures w14:val="none"/>
              </w:rPr>
              <w:t>eventos</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cada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ronda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evalúa</w:t>
            </w:r>
            <w:proofErr w:type="spellEnd"/>
            <w:r w:rsidRPr="00731E18">
              <w:rPr>
                <w:rFonts w:ascii="Times New Roman" w:eastAsia="Times New Roman" w:hAnsi="Times New Roman" w:cs="Times New Roman"/>
                <w:bCs/>
                <w:sz w:val="21"/>
                <w14:ligatures w14:val="none"/>
              </w:rPr>
              <w:t xml:space="preserve"> la </w:t>
            </w:r>
            <w:proofErr w:type="spellStart"/>
            <w:r w:rsidRPr="00731E18">
              <w:rPr>
                <w:rFonts w:ascii="Times New Roman" w:eastAsia="Times New Roman" w:hAnsi="Times New Roman" w:cs="Times New Roman"/>
                <w:bCs/>
                <w:sz w:val="21"/>
                <w14:ligatures w14:val="none"/>
              </w:rPr>
              <w:t>viabilidad</w:t>
            </w:r>
            <w:proofErr w:type="spellEnd"/>
            <w:r w:rsidRPr="00731E18">
              <w:rPr>
                <w:rFonts w:ascii="Times New Roman" w:eastAsia="Times New Roman" w:hAnsi="Times New Roman" w:cs="Times New Roman"/>
                <w:bCs/>
                <w:sz w:val="21"/>
                <w14:ligatures w14:val="none"/>
              </w:rPr>
              <w:t xml:space="preserve"> de la Casa.</w:t>
            </w:r>
          </w:p>
        </w:tc>
      </w:tr>
      <w:tr w:rsidR="00731E18" w:rsidRPr="00731E18" w14:paraId="45CB2181" w14:textId="77777777" w:rsidTr="00731E18">
        <w:tc>
          <w:tcPr>
            <w:tcW w:w="1701" w:type="dxa"/>
            <w:tcMar>
              <w:top w:w="110" w:type="dxa"/>
              <w:left w:w="120" w:type="dxa"/>
              <w:bottom w:w="110" w:type="dxa"/>
              <w:right w:w="120" w:type="dxa"/>
            </w:tcMar>
            <w:vAlign w:val="center"/>
          </w:tcPr>
          <w:p w14:paraId="11EE0AE3" w14:textId="77777777" w:rsidR="00731E18" w:rsidRPr="00731E18" w:rsidRDefault="00731E18" w:rsidP="00731E18">
            <w:pPr>
              <w:spacing w:line="276" w:lineRule="auto"/>
              <w:jc w:val="center"/>
              <w:rPr>
                <w:rFonts w:ascii="Times New Roman" w:eastAsia="Times New Roman" w:hAnsi="Times New Roman" w:cs="Times New Roman"/>
                <w:bCs/>
                <w:sz w:val="24"/>
                <w14:ligatures w14:val="none"/>
              </w:rPr>
            </w:pPr>
            <w:r w:rsidRPr="00731E18">
              <w:rPr>
                <w:rFonts w:ascii="Times New Roman" w:eastAsia="Times New Roman" w:hAnsi="Times New Roman" w:cs="Times New Roman"/>
                <w:bCs/>
                <w:sz w:val="21"/>
                <w14:ligatures w14:val="none"/>
              </w:rPr>
              <w:t>Cities: Skylines</w:t>
            </w:r>
          </w:p>
        </w:tc>
        <w:tc>
          <w:tcPr>
            <w:tcW w:w="3118" w:type="dxa"/>
            <w:tcMar>
              <w:top w:w="110" w:type="dxa"/>
              <w:left w:w="120" w:type="dxa"/>
              <w:bottom w:w="110" w:type="dxa"/>
              <w:right w:w="120" w:type="dxa"/>
            </w:tcMar>
            <w:vAlign w:val="center"/>
          </w:tcPr>
          <w:p w14:paraId="74246986" w14:textId="77777777" w:rsidR="00731E18" w:rsidRPr="00731E18" w:rsidRDefault="00731E18" w:rsidP="00731E18">
            <w:pPr>
              <w:spacing w:line="276" w:lineRule="auto"/>
              <w:jc w:val="both"/>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sz w:val="21"/>
                <w14:ligatures w14:val="none"/>
              </w:rPr>
              <w:t>Planificación</w:t>
            </w:r>
            <w:proofErr w:type="spellEnd"/>
            <w:r w:rsidRPr="00731E18">
              <w:rPr>
                <w:rFonts w:ascii="Times New Roman" w:eastAsia="Times New Roman" w:hAnsi="Times New Roman" w:cs="Times New Roman"/>
                <w:bCs/>
                <w:sz w:val="21"/>
                <w14:ligatures w14:val="none"/>
              </w:rPr>
              <w:t xml:space="preserve"> modular, </w:t>
            </w:r>
            <w:proofErr w:type="spellStart"/>
            <w:r w:rsidRPr="00731E18">
              <w:rPr>
                <w:rFonts w:ascii="Times New Roman" w:eastAsia="Times New Roman" w:hAnsi="Times New Roman" w:cs="Times New Roman"/>
                <w:bCs/>
                <w:sz w:val="21"/>
                <w14:ligatures w14:val="none"/>
              </w:rPr>
              <w:t>lectura</w:t>
            </w:r>
            <w:proofErr w:type="spellEnd"/>
            <w:r w:rsidRPr="00731E18">
              <w:rPr>
                <w:rFonts w:ascii="Times New Roman" w:eastAsia="Times New Roman" w:hAnsi="Times New Roman" w:cs="Times New Roman"/>
                <w:bCs/>
                <w:sz w:val="21"/>
                <w14:ligatures w14:val="none"/>
              </w:rPr>
              <w:t xml:space="preserve"> territorial de </w:t>
            </w:r>
            <w:proofErr w:type="spellStart"/>
            <w:r w:rsidRPr="00731E18">
              <w:rPr>
                <w:rFonts w:ascii="Times New Roman" w:eastAsia="Times New Roman" w:hAnsi="Times New Roman" w:cs="Times New Roman"/>
                <w:bCs/>
                <w:sz w:val="21"/>
                <w14:ligatures w14:val="none"/>
              </w:rPr>
              <w:t>infraestructuras</w:t>
            </w:r>
            <w:proofErr w:type="spellEnd"/>
            <w:r w:rsidRPr="00731E18">
              <w:rPr>
                <w:rFonts w:ascii="Times New Roman" w:eastAsia="Times New Roman" w:hAnsi="Times New Roman" w:cs="Times New Roman"/>
                <w:bCs/>
                <w:sz w:val="21"/>
                <w14:ligatures w14:val="none"/>
              </w:rPr>
              <w:t xml:space="preserve"> y panel de control con </w:t>
            </w:r>
            <w:proofErr w:type="spellStart"/>
            <w:r w:rsidRPr="00731E18">
              <w:rPr>
                <w:rFonts w:ascii="Times New Roman" w:eastAsia="Times New Roman" w:hAnsi="Times New Roman" w:cs="Times New Roman"/>
                <w:bCs/>
                <w:sz w:val="21"/>
                <w14:ligatures w14:val="none"/>
              </w:rPr>
              <w:t>información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agregada</w:t>
            </w:r>
            <w:proofErr w:type="spellEnd"/>
            <w:r w:rsidRPr="00731E18">
              <w:rPr>
                <w:rFonts w:ascii="Times New Roman" w:eastAsia="Times New Roman" w:hAnsi="Times New Roman" w:cs="Times New Roman"/>
                <w:bCs/>
                <w:sz w:val="21"/>
                <w14:ligatures w14:val="none"/>
              </w:rPr>
              <w:t>.</w:t>
            </w:r>
          </w:p>
        </w:tc>
        <w:tc>
          <w:tcPr>
            <w:tcW w:w="3969" w:type="dxa"/>
            <w:tcMar>
              <w:top w:w="110" w:type="dxa"/>
              <w:left w:w="120" w:type="dxa"/>
              <w:bottom w:w="110" w:type="dxa"/>
              <w:right w:w="120" w:type="dxa"/>
            </w:tcMar>
            <w:vAlign w:val="center"/>
          </w:tcPr>
          <w:p w14:paraId="33F12953" w14:textId="77777777" w:rsidR="00731E18" w:rsidRPr="00731E18" w:rsidRDefault="00731E18" w:rsidP="00731E18">
            <w:pPr>
              <w:spacing w:line="276" w:lineRule="auto"/>
              <w:jc w:val="both"/>
              <w:rPr>
                <w:rFonts w:ascii="Times New Roman" w:eastAsia="Times New Roman" w:hAnsi="Times New Roman" w:cs="Times New Roman"/>
                <w:bCs/>
                <w:sz w:val="24"/>
                <w14:ligatures w14:val="none"/>
              </w:rPr>
            </w:pPr>
            <w:r w:rsidRPr="00731E18">
              <w:rPr>
                <w:rFonts w:ascii="Times New Roman" w:eastAsia="Times New Roman" w:hAnsi="Times New Roman" w:cs="Times New Roman"/>
                <w:bCs/>
                <w:sz w:val="21"/>
                <w14:ligatures w14:val="none"/>
              </w:rPr>
              <w:t xml:space="preserve">Los enclaves se </w:t>
            </w:r>
            <w:proofErr w:type="spellStart"/>
            <w:r w:rsidRPr="00731E18">
              <w:rPr>
                <w:rFonts w:ascii="Times New Roman" w:eastAsia="Times New Roman" w:hAnsi="Times New Roman" w:cs="Times New Roman"/>
                <w:bCs/>
                <w:sz w:val="21"/>
                <w14:ligatures w14:val="none"/>
              </w:rPr>
              <w:t>organizan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como</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nodos</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operativos</w:t>
            </w:r>
            <w:proofErr w:type="spellEnd"/>
            <w:r w:rsidRPr="00731E18">
              <w:rPr>
                <w:rFonts w:ascii="Times New Roman" w:eastAsia="Times New Roman" w:hAnsi="Times New Roman" w:cs="Times New Roman"/>
                <w:bCs/>
                <w:sz w:val="21"/>
                <w14:ligatures w14:val="none"/>
              </w:rPr>
              <w:t xml:space="preserve"> con </w:t>
            </w:r>
            <w:proofErr w:type="spellStart"/>
            <w:r w:rsidRPr="00731E18">
              <w:rPr>
                <w:rFonts w:ascii="Times New Roman" w:eastAsia="Times New Roman" w:hAnsi="Times New Roman" w:cs="Times New Roman"/>
                <w:bCs/>
                <w:sz w:val="21"/>
                <w14:ligatures w14:val="none"/>
              </w:rPr>
              <w:t>capacidad</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hectáreas</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instalaciones</w:t>
            </w:r>
            <w:proofErr w:type="spellEnd"/>
            <w:r w:rsidRPr="00731E18">
              <w:rPr>
                <w:rFonts w:ascii="Times New Roman" w:eastAsia="Times New Roman" w:hAnsi="Times New Roman" w:cs="Times New Roman"/>
                <w:bCs/>
                <w:sz w:val="21"/>
                <w14:ligatures w14:val="none"/>
              </w:rPr>
              <w:t xml:space="preserve"> y </w:t>
            </w:r>
            <w:proofErr w:type="spellStart"/>
            <w:r w:rsidRPr="00731E18">
              <w:rPr>
                <w:rFonts w:ascii="Times New Roman" w:eastAsia="Times New Roman" w:hAnsi="Times New Roman" w:cs="Times New Roman"/>
                <w:bCs/>
                <w:sz w:val="21"/>
                <w14:ligatures w14:val="none"/>
              </w:rPr>
              <w:t>rendimiento</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el</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cliente</w:t>
            </w:r>
            <w:proofErr w:type="spellEnd"/>
            <w:r w:rsidRPr="00731E18">
              <w:rPr>
                <w:rFonts w:ascii="Times New Roman" w:eastAsia="Times New Roman" w:hAnsi="Times New Roman" w:cs="Times New Roman"/>
                <w:bCs/>
                <w:sz w:val="21"/>
                <w14:ligatures w14:val="none"/>
              </w:rPr>
              <w:t xml:space="preserve"> de </w:t>
            </w:r>
            <w:proofErr w:type="spellStart"/>
            <w:r w:rsidRPr="00731E18">
              <w:rPr>
                <w:rFonts w:ascii="Times New Roman" w:eastAsia="Times New Roman" w:hAnsi="Times New Roman" w:cs="Times New Roman"/>
                <w:bCs/>
                <w:sz w:val="21"/>
                <w14:ligatures w14:val="none"/>
              </w:rPr>
              <w:t>administración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funciona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como</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centro</w:t>
            </w:r>
            <w:proofErr w:type="spellEnd"/>
            <w:r w:rsidRPr="00731E18">
              <w:rPr>
                <w:rFonts w:ascii="Times New Roman" w:eastAsia="Times New Roman" w:hAnsi="Times New Roman" w:cs="Times New Roman"/>
                <w:bCs/>
                <w:sz w:val="21"/>
                <w14:ligatures w14:val="none"/>
              </w:rPr>
              <w:t xml:space="preserve"> de </w:t>
            </w:r>
            <w:proofErr w:type="spellStart"/>
            <w:r w:rsidRPr="00731E18">
              <w:rPr>
                <w:rFonts w:ascii="Times New Roman" w:eastAsia="Times New Roman" w:hAnsi="Times New Roman" w:cs="Times New Roman"/>
                <w:bCs/>
                <w:sz w:val="21"/>
                <w14:ligatures w14:val="none"/>
              </w:rPr>
              <w:t>mando</w:t>
            </w:r>
            <w:proofErr w:type="spellEnd"/>
            <w:r w:rsidRPr="00731E18">
              <w:rPr>
                <w:rFonts w:ascii="Times New Roman" w:eastAsia="Times New Roman" w:hAnsi="Times New Roman" w:cs="Times New Roman"/>
                <w:bCs/>
                <w:sz w:val="21"/>
                <w14:ligatures w14:val="none"/>
              </w:rPr>
              <w:t>.</w:t>
            </w:r>
          </w:p>
        </w:tc>
      </w:tr>
      <w:tr w:rsidR="00731E18" w:rsidRPr="00731E18" w14:paraId="60C66FA5" w14:textId="77777777" w:rsidTr="00731E18">
        <w:tc>
          <w:tcPr>
            <w:tcW w:w="1701" w:type="dxa"/>
            <w:tcMar>
              <w:top w:w="110" w:type="dxa"/>
              <w:left w:w="120" w:type="dxa"/>
              <w:bottom w:w="110" w:type="dxa"/>
              <w:right w:w="120" w:type="dxa"/>
            </w:tcMar>
            <w:vAlign w:val="center"/>
          </w:tcPr>
          <w:p w14:paraId="1CD12F3A" w14:textId="77777777" w:rsidR="00731E18" w:rsidRPr="00731E18" w:rsidRDefault="00731E18" w:rsidP="00731E18">
            <w:pPr>
              <w:spacing w:line="276" w:lineRule="auto"/>
              <w:jc w:val="center"/>
              <w:rPr>
                <w:rFonts w:ascii="Times New Roman" w:eastAsia="Times New Roman" w:hAnsi="Times New Roman" w:cs="Times New Roman"/>
                <w:bCs/>
                <w:sz w:val="24"/>
                <w14:ligatures w14:val="none"/>
              </w:rPr>
            </w:pPr>
            <w:r w:rsidRPr="00731E18">
              <w:rPr>
                <w:rFonts w:ascii="Times New Roman" w:eastAsia="Times New Roman" w:hAnsi="Times New Roman" w:cs="Times New Roman"/>
                <w:bCs/>
                <w:sz w:val="21"/>
                <w14:ligatures w14:val="none"/>
              </w:rPr>
              <w:lastRenderedPageBreak/>
              <w:t>The Guild 3</w:t>
            </w:r>
          </w:p>
        </w:tc>
        <w:tc>
          <w:tcPr>
            <w:tcW w:w="3118" w:type="dxa"/>
            <w:tcMar>
              <w:top w:w="110" w:type="dxa"/>
              <w:left w:w="120" w:type="dxa"/>
              <w:bottom w:w="110" w:type="dxa"/>
              <w:right w:w="120" w:type="dxa"/>
            </w:tcMar>
            <w:vAlign w:val="center"/>
          </w:tcPr>
          <w:p w14:paraId="200D83FD" w14:textId="77777777" w:rsidR="00731E18" w:rsidRPr="00731E18" w:rsidRDefault="00731E18" w:rsidP="00731E18">
            <w:pPr>
              <w:spacing w:line="276" w:lineRule="auto"/>
              <w:jc w:val="both"/>
              <w:rPr>
                <w:rFonts w:ascii="Times New Roman" w:eastAsia="Times New Roman" w:hAnsi="Times New Roman" w:cs="Times New Roman"/>
                <w:bCs/>
                <w:sz w:val="24"/>
                <w14:ligatures w14:val="none"/>
              </w:rPr>
            </w:pPr>
            <w:proofErr w:type="spellStart"/>
            <w:r w:rsidRPr="00731E18">
              <w:rPr>
                <w:rFonts w:ascii="Times New Roman" w:eastAsia="Times New Roman" w:hAnsi="Times New Roman" w:cs="Times New Roman"/>
                <w:bCs/>
                <w:sz w:val="21"/>
                <w14:ligatures w14:val="none"/>
              </w:rPr>
              <w:t>Lógica</w:t>
            </w:r>
            <w:proofErr w:type="spellEnd"/>
            <w:r w:rsidRPr="00731E18">
              <w:rPr>
                <w:rFonts w:ascii="Times New Roman" w:eastAsia="Times New Roman" w:hAnsi="Times New Roman" w:cs="Times New Roman"/>
                <w:bCs/>
                <w:sz w:val="21"/>
                <w14:ligatures w14:val="none"/>
              </w:rPr>
              <w:t xml:space="preserve"> patrimonial y </w:t>
            </w:r>
            <w:proofErr w:type="spellStart"/>
            <w:r w:rsidRPr="00731E18">
              <w:rPr>
                <w:rFonts w:ascii="Times New Roman" w:eastAsia="Times New Roman" w:hAnsi="Times New Roman" w:cs="Times New Roman"/>
                <w:bCs/>
                <w:sz w:val="21"/>
                <w14:ligatures w14:val="none"/>
              </w:rPr>
              <w:t>económico-corporativa</w:t>
            </w:r>
            <w:proofErr w:type="spellEnd"/>
            <w:r w:rsidRPr="00731E18">
              <w:rPr>
                <w:rFonts w:ascii="Times New Roman" w:eastAsia="Times New Roman" w:hAnsi="Times New Roman" w:cs="Times New Roman"/>
                <w:bCs/>
                <w:sz w:val="21"/>
                <w14:ligatures w14:val="none"/>
              </w:rPr>
              <w:t xml:space="preserve"> de </w:t>
            </w:r>
            <w:proofErr w:type="spellStart"/>
            <w:r w:rsidRPr="00731E18">
              <w:rPr>
                <w:rFonts w:ascii="Times New Roman" w:eastAsia="Times New Roman" w:hAnsi="Times New Roman" w:cs="Times New Roman"/>
                <w:bCs/>
                <w:sz w:val="21"/>
                <w14:ligatures w14:val="none"/>
              </w:rPr>
              <w:t>una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unidad</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institucional</w:t>
            </w:r>
            <w:proofErr w:type="spellEnd"/>
            <w:r w:rsidRPr="00731E18">
              <w:rPr>
                <w:rFonts w:ascii="Times New Roman" w:eastAsia="Times New Roman" w:hAnsi="Times New Roman" w:cs="Times New Roman"/>
                <w:bCs/>
                <w:sz w:val="21"/>
                <w14:ligatures w14:val="none"/>
              </w:rPr>
              <w:t xml:space="preserve"> que </w:t>
            </w:r>
            <w:proofErr w:type="spellStart"/>
            <w:r w:rsidRPr="00731E18">
              <w:rPr>
                <w:rFonts w:ascii="Times New Roman" w:eastAsia="Times New Roman" w:hAnsi="Times New Roman" w:cs="Times New Roman"/>
                <w:bCs/>
                <w:sz w:val="21"/>
                <w14:ligatures w14:val="none"/>
              </w:rPr>
              <w:t>busca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continuidad</w:t>
            </w:r>
            <w:proofErr w:type="spellEnd"/>
            <w:r w:rsidRPr="00731E18">
              <w:rPr>
                <w:rFonts w:ascii="Times New Roman" w:eastAsia="Times New Roman" w:hAnsi="Times New Roman" w:cs="Times New Roman"/>
                <w:bCs/>
                <w:sz w:val="21"/>
                <w14:ligatures w14:val="none"/>
              </w:rPr>
              <w:t xml:space="preserve"> y </w:t>
            </w:r>
            <w:proofErr w:type="spellStart"/>
            <w:r w:rsidRPr="00731E18">
              <w:rPr>
                <w:rFonts w:ascii="Times New Roman" w:eastAsia="Times New Roman" w:hAnsi="Times New Roman" w:cs="Times New Roman"/>
                <w:bCs/>
                <w:sz w:val="21"/>
                <w14:ligatures w14:val="none"/>
              </w:rPr>
              <w:t>beneficio</w:t>
            </w:r>
            <w:proofErr w:type="spellEnd"/>
            <w:r w:rsidRPr="00731E18">
              <w:rPr>
                <w:rFonts w:ascii="Times New Roman" w:eastAsia="Times New Roman" w:hAnsi="Times New Roman" w:cs="Times New Roman"/>
                <w:bCs/>
                <w:sz w:val="21"/>
                <w14:ligatures w14:val="none"/>
              </w:rPr>
              <w:t>.</w:t>
            </w:r>
          </w:p>
        </w:tc>
        <w:tc>
          <w:tcPr>
            <w:tcW w:w="3969" w:type="dxa"/>
            <w:tcMar>
              <w:top w:w="110" w:type="dxa"/>
              <w:left w:w="120" w:type="dxa"/>
              <w:bottom w:w="110" w:type="dxa"/>
              <w:right w:w="120" w:type="dxa"/>
            </w:tcMar>
            <w:vAlign w:val="center"/>
          </w:tcPr>
          <w:p w14:paraId="418D3210" w14:textId="77777777" w:rsidR="00731E18" w:rsidRPr="00731E18" w:rsidRDefault="00731E18" w:rsidP="00731E18">
            <w:pPr>
              <w:spacing w:line="276" w:lineRule="auto"/>
              <w:jc w:val="both"/>
              <w:rPr>
                <w:rFonts w:ascii="Times New Roman" w:eastAsia="Times New Roman" w:hAnsi="Times New Roman" w:cs="Times New Roman"/>
                <w:bCs/>
                <w:sz w:val="24"/>
                <w14:ligatures w14:val="none"/>
              </w:rPr>
            </w:pPr>
            <w:r w:rsidRPr="00731E18">
              <w:rPr>
                <w:rFonts w:ascii="Times New Roman" w:eastAsia="Times New Roman" w:hAnsi="Times New Roman" w:cs="Times New Roman"/>
                <w:bCs/>
                <w:sz w:val="21"/>
                <w14:ligatures w14:val="none"/>
              </w:rPr>
              <w:t xml:space="preserve">La Casa Menor se </w:t>
            </w:r>
            <w:proofErr w:type="spellStart"/>
            <w:r w:rsidRPr="00731E18">
              <w:rPr>
                <w:rFonts w:ascii="Times New Roman" w:eastAsia="Times New Roman" w:hAnsi="Times New Roman" w:cs="Times New Roman"/>
                <w:bCs/>
                <w:sz w:val="21"/>
                <w14:ligatures w14:val="none"/>
              </w:rPr>
              <w:t>comporta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como</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una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entidad</w:t>
            </w:r>
            <w:proofErr w:type="spellEnd"/>
            <w:r w:rsidRPr="00731E18">
              <w:rPr>
                <w:rFonts w:ascii="Times New Roman" w:eastAsia="Times New Roman" w:hAnsi="Times New Roman" w:cs="Times New Roman"/>
                <w:bCs/>
                <w:sz w:val="21"/>
                <w14:ligatures w14:val="none"/>
              </w:rPr>
              <w:t xml:space="preserve"> que </w:t>
            </w:r>
            <w:proofErr w:type="spellStart"/>
            <w:r w:rsidRPr="00731E18">
              <w:rPr>
                <w:rFonts w:ascii="Times New Roman" w:eastAsia="Times New Roman" w:hAnsi="Times New Roman" w:cs="Times New Roman"/>
                <w:bCs/>
                <w:sz w:val="21"/>
                <w14:ligatures w14:val="none"/>
              </w:rPr>
              <w:t>invierte</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amplía</w:t>
            </w:r>
            <w:proofErr w:type="spellEnd"/>
            <w:r w:rsidRPr="00731E18">
              <w:rPr>
                <w:rFonts w:ascii="Times New Roman" w:eastAsia="Times New Roman" w:hAnsi="Times New Roman" w:cs="Times New Roman"/>
                <w:bCs/>
                <w:sz w:val="21"/>
                <w14:ligatures w14:val="none"/>
              </w:rPr>
              <w:t xml:space="preserve">, protege </w:t>
            </w:r>
            <w:proofErr w:type="spellStart"/>
            <w:r w:rsidRPr="00731E18">
              <w:rPr>
                <w:rFonts w:ascii="Times New Roman" w:eastAsia="Times New Roman" w:hAnsi="Times New Roman" w:cs="Times New Roman"/>
                <w:bCs/>
                <w:sz w:val="21"/>
                <w14:ligatures w14:val="none"/>
              </w:rPr>
              <w:t>liquidez</w:t>
            </w:r>
            <w:proofErr w:type="spellEnd"/>
            <w:r w:rsidRPr="00731E18">
              <w:rPr>
                <w:rFonts w:ascii="Times New Roman" w:eastAsia="Times New Roman" w:hAnsi="Times New Roman" w:cs="Times New Roman"/>
                <w:bCs/>
                <w:sz w:val="21"/>
                <w14:ligatures w14:val="none"/>
              </w:rPr>
              <w:t xml:space="preserve"> y </w:t>
            </w:r>
            <w:proofErr w:type="spellStart"/>
            <w:r w:rsidRPr="00731E18">
              <w:rPr>
                <w:rFonts w:ascii="Times New Roman" w:eastAsia="Times New Roman" w:hAnsi="Times New Roman" w:cs="Times New Roman"/>
                <w:bCs/>
                <w:sz w:val="21"/>
                <w14:ligatures w14:val="none"/>
              </w:rPr>
              <w:t>calcula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el</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rendimiento</w:t>
            </w:r>
            <w:proofErr w:type="spellEnd"/>
            <w:r w:rsidRPr="00731E18">
              <w:rPr>
                <w:rFonts w:ascii="Times New Roman" w:eastAsia="Times New Roman" w:hAnsi="Times New Roman" w:cs="Times New Roman"/>
                <w:bCs/>
                <w:sz w:val="21"/>
                <w14:ligatures w14:val="none"/>
              </w:rPr>
              <w:t xml:space="preserve"> de </w:t>
            </w:r>
            <w:proofErr w:type="spellStart"/>
            <w:r w:rsidRPr="00731E18">
              <w:rPr>
                <w:rFonts w:ascii="Times New Roman" w:eastAsia="Times New Roman" w:hAnsi="Times New Roman" w:cs="Times New Roman"/>
                <w:bCs/>
                <w:sz w:val="21"/>
                <w14:ligatures w14:val="none"/>
              </w:rPr>
              <w:t>cada</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decisión</w:t>
            </w:r>
            <w:proofErr w:type="spellEnd"/>
            <w:r w:rsidRPr="00731E18">
              <w:rPr>
                <w:rFonts w:ascii="Times New Roman" w:eastAsia="Times New Roman" w:hAnsi="Times New Roman" w:cs="Times New Roman"/>
                <w:bCs/>
                <w:sz w:val="21"/>
                <w14:ligatures w14:val="none"/>
              </w:rPr>
              <w:t xml:space="preserve"> </w:t>
            </w:r>
            <w:proofErr w:type="spellStart"/>
            <w:r w:rsidRPr="00731E18">
              <w:rPr>
                <w:rFonts w:ascii="Times New Roman" w:eastAsia="Times New Roman" w:hAnsi="Times New Roman" w:cs="Times New Roman"/>
                <w:bCs/>
                <w:sz w:val="21"/>
                <w14:ligatures w14:val="none"/>
              </w:rPr>
              <w:t>operativa</w:t>
            </w:r>
            <w:proofErr w:type="spellEnd"/>
            <w:r w:rsidRPr="00731E18">
              <w:rPr>
                <w:rFonts w:ascii="Times New Roman" w:eastAsia="Times New Roman" w:hAnsi="Times New Roman" w:cs="Times New Roman"/>
                <w:bCs/>
                <w:sz w:val="21"/>
                <w14:ligatures w14:val="none"/>
              </w:rPr>
              <w:t>.</w:t>
            </w:r>
          </w:p>
        </w:tc>
      </w:tr>
    </w:tbl>
    <w:p w14:paraId="2A7F6314" w14:textId="77777777" w:rsidR="00731E18" w:rsidRDefault="00731E18" w:rsidP="00731E18">
      <w:pPr>
        <w:jc w:val="both"/>
        <w:rPr>
          <w:rFonts w:ascii="Times New Roman" w:hAnsi="Times New Roman" w:cs="Times New Roman"/>
          <w:sz w:val="24"/>
          <w:szCs w:val="24"/>
        </w:rPr>
      </w:pPr>
    </w:p>
    <w:p w14:paraId="40A62AB8" w14:textId="0E641694" w:rsidR="00731E18" w:rsidRPr="00731E18" w:rsidRDefault="00731E18" w:rsidP="00731E18">
      <w:pPr>
        <w:jc w:val="both"/>
        <w:rPr>
          <w:rFonts w:ascii="Times New Roman" w:hAnsi="Times New Roman" w:cs="Times New Roman"/>
          <w:sz w:val="24"/>
          <w:szCs w:val="24"/>
        </w:rPr>
      </w:pPr>
      <w:proofErr w:type="spellStart"/>
      <w:r w:rsidRPr="00731E18">
        <w:rPr>
          <w:rFonts w:ascii="Times New Roman" w:hAnsi="Times New Roman" w:cs="Times New Roman"/>
          <w:sz w:val="24"/>
          <w:szCs w:val="24"/>
        </w:rPr>
        <w:t>Frostpunk</w:t>
      </w:r>
      <w:proofErr w:type="spellEnd"/>
      <w:r w:rsidRPr="00731E18">
        <w:rPr>
          <w:rFonts w:ascii="Times New Roman" w:hAnsi="Times New Roman" w:cs="Times New Roman"/>
          <w:sz w:val="24"/>
          <w:szCs w:val="24"/>
        </w:rPr>
        <w:t xml:space="preserve"> como matriz del ritmo sistémico</w:t>
      </w:r>
    </w:p>
    <w:p w14:paraId="41C1A64B"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La función decisiva de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consiste en proporcionar el principio de inteligibilidad del juego: la Casa Menor no administra variables neutras, sino un sistema frágil sometido a tensiones permanentes. Arrakis debe sentirse como un medio que castiga el error de planificación, que obliga a jerarquizar prioridades y que convierte cada ampliación en una apuesta de riesgo. En este marco, la ronda mensual no constituye un mero trámite cronológico, sino el momento en que el sistema devuelve, con toda su dureza, la verdad material de las decisiones tomadas. Si faltan suministros, la alimentación se resiente; si la alimentación se resiente, la salud de las criaturas desciende; si la salud cae, disminuye el atractivo de la exhibición y se deteriora la capacidad de generar fondos. La lógica </w:t>
      </w:r>
      <w:proofErr w:type="spellStart"/>
      <w:r w:rsidRPr="00731E18">
        <w:rPr>
          <w:rFonts w:ascii="Times New Roman" w:hAnsi="Times New Roman" w:cs="Times New Roman"/>
          <w:color w:val="4472C4" w:themeColor="accent1"/>
          <w:sz w:val="24"/>
          <w:szCs w:val="24"/>
        </w:rPr>
        <w:t>frostpunkiana</w:t>
      </w:r>
      <w:proofErr w:type="spellEnd"/>
      <w:r w:rsidRPr="00731E18">
        <w:rPr>
          <w:rFonts w:ascii="Times New Roman" w:hAnsi="Times New Roman" w:cs="Times New Roman"/>
          <w:color w:val="4472C4" w:themeColor="accent1"/>
          <w:sz w:val="24"/>
          <w:szCs w:val="24"/>
        </w:rPr>
        <w:t xml:space="preserve"> no se imita, pues, en la superficie temática, sino en la forma en que la simulación convierte la escasez en estructura dramática.</w:t>
      </w:r>
    </w:p>
    <w:p w14:paraId="3D154FBB"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Esta influencia resulta especialmente fértil para articular el bucle central de juego. Antes de cada ronda, el jugador debe decidir si compra suministros, si construye nuevas instalaciones, si refuerza un enclave de aclimatación o si apuesta por expandir el enclave de exhibición; debe valorar también si mantiene criaturas de elevado coste metabólico, si traslada ejemplares adultos o si asume el coste político y económico del descarte. Después, el servicio de simulación procesa las consecuencias: se ejecutan los protocolos de alimentación, reproducción o clonación, se actualiza la salud, se calculan visitantes y donaciones, y se genera un nuevo estado del sistema. En otros términos,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ofrece la idea de una administración bajo presión, donde la supervivencia institucional depende de la correcta administración de una cadena de interdependencias.</w:t>
      </w:r>
    </w:p>
    <w:p w14:paraId="75A09385" w14:textId="383CC526" w:rsidR="00731E18" w:rsidRPr="00731E18" w:rsidRDefault="00731E18" w:rsidP="00731E18">
      <w:pPr>
        <w:jc w:val="both"/>
        <w:rPr>
          <w:rFonts w:ascii="Times New Roman" w:hAnsi="Times New Roman" w:cs="Times New Roman"/>
          <w:sz w:val="24"/>
          <w:szCs w:val="24"/>
        </w:rPr>
      </w:pPr>
      <w:proofErr w:type="spellStart"/>
      <w:r w:rsidRPr="00731E18">
        <w:rPr>
          <w:rFonts w:ascii="Times New Roman" w:hAnsi="Times New Roman" w:cs="Times New Roman"/>
          <w:sz w:val="24"/>
          <w:szCs w:val="24"/>
        </w:rPr>
        <w:t>Cities</w:t>
      </w:r>
      <w:proofErr w:type="spellEnd"/>
      <w:r w:rsidRPr="00731E18">
        <w:rPr>
          <w:rFonts w:ascii="Times New Roman" w:hAnsi="Times New Roman" w:cs="Times New Roman"/>
          <w:sz w:val="24"/>
          <w:szCs w:val="24"/>
        </w:rPr>
        <w:t>: Skylines como modelo de planificación y centro de mando</w:t>
      </w:r>
    </w:p>
    <w:p w14:paraId="2C48464F"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La aportación de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xml:space="preserve">: Skylines debe leerse con precisión: no se trata de transformar el proyecto en un </w:t>
      </w:r>
      <w:proofErr w:type="spellStart"/>
      <w:r w:rsidRPr="00731E18">
        <w:rPr>
          <w:rFonts w:ascii="Times New Roman" w:hAnsi="Times New Roman" w:cs="Times New Roman"/>
          <w:color w:val="4472C4" w:themeColor="accent1"/>
          <w:sz w:val="24"/>
          <w:szCs w:val="24"/>
        </w:rPr>
        <w:t>city-builder</w:t>
      </w:r>
      <w:proofErr w:type="spellEnd"/>
      <w:r w:rsidRPr="00731E18">
        <w:rPr>
          <w:rFonts w:ascii="Times New Roman" w:hAnsi="Times New Roman" w:cs="Times New Roman"/>
          <w:color w:val="4472C4" w:themeColor="accent1"/>
          <w:sz w:val="24"/>
          <w:szCs w:val="24"/>
        </w:rPr>
        <w:t xml:space="preserve"> convencional, sino de aprovechar su capacidad para hacer visible la estructura de un sistema complejo. El enunciado distingue enclaves, hectáreas, instalaciones, capacidades, visitantes, nivel adquisitivo, fondos y eventos, lo cual exige una interfaz capaz de presentar información agregada sin perder claridad operativa. Aquí reside el valor de la referencia </w:t>
      </w:r>
      <w:proofErr w:type="spellStart"/>
      <w:r w:rsidRPr="00731E18">
        <w:rPr>
          <w:rFonts w:ascii="Times New Roman" w:hAnsi="Times New Roman" w:cs="Times New Roman"/>
          <w:color w:val="4472C4" w:themeColor="accent1"/>
          <w:sz w:val="24"/>
          <w:szCs w:val="24"/>
        </w:rPr>
        <w:t>skylinesiana</w:t>
      </w:r>
      <w:proofErr w:type="spellEnd"/>
      <w:r w:rsidRPr="00731E18">
        <w:rPr>
          <w:rFonts w:ascii="Times New Roman" w:hAnsi="Times New Roman" w:cs="Times New Roman"/>
          <w:color w:val="4472C4" w:themeColor="accent1"/>
          <w:sz w:val="24"/>
          <w:szCs w:val="24"/>
        </w:rPr>
        <w:t xml:space="preserve">. El jugador debe contemplar la Casa como una red de nodos funcionales: la Cuenca Experimental de Arrakis como espacio de aclimatación, y </w:t>
      </w:r>
      <w:proofErr w:type="spellStart"/>
      <w:r w:rsidRPr="00731E18">
        <w:rPr>
          <w:rFonts w:ascii="Times New Roman" w:hAnsi="Times New Roman" w:cs="Times New Roman"/>
          <w:color w:val="4472C4" w:themeColor="accent1"/>
          <w:sz w:val="24"/>
          <w:szCs w:val="24"/>
        </w:rPr>
        <w:t>Arrakeen</w:t>
      </w:r>
      <w:proofErr w:type="spellEnd"/>
      <w:r w:rsidRPr="00731E18">
        <w:rPr>
          <w:rFonts w:ascii="Times New Roman" w:hAnsi="Times New Roman" w:cs="Times New Roman"/>
          <w:color w:val="4472C4" w:themeColor="accent1"/>
          <w:sz w:val="24"/>
          <w:szCs w:val="24"/>
        </w:rPr>
        <w:t xml:space="preserve">, </w:t>
      </w:r>
      <w:proofErr w:type="spellStart"/>
      <w:r w:rsidRPr="00731E18">
        <w:rPr>
          <w:rFonts w:ascii="Times New Roman" w:hAnsi="Times New Roman" w:cs="Times New Roman"/>
          <w:color w:val="4472C4" w:themeColor="accent1"/>
          <w:sz w:val="24"/>
          <w:szCs w:val="24"/>
        </w:rPr>
        <w:t>Giedi</w:t>
      </w:r>
      <w:proofErr w:type="spellEnd"/>
      <w:r w:rsidRPr="00731E18">
        <w:rPr>
          <w:rFonts w:ascii="Times New Roman" w:hAnsi="Times New Roman" w:cs="Times New Roman"/>
          <w:color w:val="4472C4" w:themeColor="accent1"/>
          <w:sz w:val="24"/>
          <w:szCs w:val="24"/>
        </w:rPr>
        <w:t xml:space="preserve"> Prime o </w:t>
      </w:r>
      <w:proofErr w:type="spellStart"/>
      <w:r w:rsidRPr="00731E18">
        <w:rPr>
          <w:rFonts w:ascii="Times New Roman" w:hAnsi="Times New Roman" w:cs="Times New Roman"/>
          <w:color w:val="4472C4" w:themeColor="accent1"/>
          <w:sz w:val="24"/>
          <w:szCs w:val="24"/>
        </w:rPr>
        <w:t>Caladan</w:t>
      </w:r>
      <w:proofErr w:type="spellEnd"/>
      <w:r w:rsidRPr="00731E18">
        <w:rPr>
          <w:rFonts w:ascii="Times New Roman" w:hAnsi="Times New Roman" w:cs="Times New Roman"/>
          <w:color w:val="4472C4" w:themeColor="accent1"/>
          <w:sz w:val="24"/>
          <w:szCs w:val="24"/>
        </w:rPr>
        <w:t xml:space="preserve"> como enclaves de exhibición con condiciones iniciales diferentes y perfiles estratégicos propios.</w:t>
      </w:r>
    </w:p>
    <w:p w14:paraId="6BBE1B3D"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Desde esta perspectiva, cada instalación deja de ser un simple elemento de inventario para convertirse en pieza de una ecología espacial. El jugador no sólo </w:t>
      </w:r>
      <w:r w:rsidRPr="00731E18">
        <w:rPr>
          <w:rFonts w:ascii="Times New Roman" w:hAnsi="Times New Roman" w:cs="Times New Roman"/>
          <w:color w:val="4472C4" w:themeColor="accent1"/>
          <w:sz w:val="24"/>
          <w:szCs w:val="24"/>
        </w:rPr>
        <w:lastRenderedPageBreak/>
        <w:t xml:space="preserve">gestiona criaturas individuales, sino también proporciones entre hectáreas disponibles e instalaciones construidas, equilibrio entre recintos de aclimatación y de exhibición, saturación de capacidad, distribución de suministros y rendimiento comparado entre enclaves. El cliente de administración debe parecerse, por ello, a un verdadero centro de mando: una superficie de lectura desde la cual puedan observarse criaturas ordenadas por salud, eventos en secuencia cronológica, niveles de reserva, afluencia de visitantes y advertencias de incoherencia o riesgo.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Skylines aporta, en suma, la racionalidad visual y organizativa que permite gobernar un sistema complejo sin reducirlo a una sucesión confusa de menús.</w:t>
      </w:r>
    </w:p>
    <w:p w14:paraId="7727EB7E" w14:textId="1304BFBF" w:rsidR="00731E18" w:rsidRPr="00731E18" w:rsidRDefault="00731E18" w:rsidP="00731E18">
      <w:pPr>
        <w:jc w:val="both"/>
        <w:rPr>
          <w:rFonts w:ascii="Times New Roman" w:hAnsi="Times New Roman" w:cs="Times New Roman"/>
          <w:sz w:val="24"/>
          <w:szCs w:val="24"/>
        </w:rPr>
      </w:pPr>
      <w:r w:rsidRPr="00731E18">
        <w:rPr>
          <w:rFonts w:ascii="Times New Roman" w:hAnsi="Times New Roman" w:cs="Times New Roman"/>
          <w:sz w:val="24"/>
          <w:szCs w:val="24"/>
        </w:rPr>
        <w:t xml:space="preserve">The </w:t>
      </w:r>
      <w:proofErr w:type="spellStart"/>
      <w:r w:rsidRPr="00731E18">
        <w:rPr>
          <w:rFonts w:ascii="Times New Roman" w:hAnsi="Times New Roman" w:cs="Times New Roman"/>
          <w:sz w:val="24"/>
          <w:szCs w:val="24"/>
        </w:rPr>
        <w:t>Guild</w:t>
      </w:r>
      <w:proofErr w:type="spellEnd"/>
      <w:r w:rsidRPr="00731E18">
        <w:rPr>
          <w:rFonts w:ascii="Times New Roman" w:hAnsi="Times New Roman" w:cs="Times New Roman"/>
          <w:sz w:val="24"/>
          <w:szCs w:val="24"/>
        </w:rPr>
        <w:t xml:space="preserve"> 3 como apoyo parcial para la lógica de Casa</w:t>
      </w:r>
    </w:p>
    <w:p w14:paraId="5182362F"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La referencia a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debe mantenerse en un plano auxiliar, pero no por ello menor. Su utilidad radica en recordar que la unidad de juego es una Casa Menor y que, por consiguiente, el jugador no encarna a un técnico neutral, sino a una organización con intereses, patrimonio, prestigio y necesidad de continuidad. El proyecto gana solidez cuando la economía se interpreta no sólo como mecánica de construcción, sino como tesorería estratégica de una institución que compra, invierte, amplía y protege su liquidez. Los fondos dejan entonces de ser una cifra abstracta para convertirse en la expresión condensada del éxito o del fracaso de una política de gestión.</w:t>
      </w:r>
    </w:p>
    <w:p w14:paraId="0B659B32" w14:textId="77777777" w:rsidR="00731E18" w:rsidRPr="00731E18" w:rsidRDefault="00731E18" w:rsidP="00731E18">
      <w:pPr>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En ese marco, el enclave rentable, la criatura bien mantenida, el traslado oportuno o la ampliación calculada se leen como decisiones de gobierno económico. La Casa Menor actúa, así, como una empresa nobiliario-corporativa autorizada a operar sobre la fauna, la especia y la exhibición pública. Esta textura institucional, tomada sólo parcialmente de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ayuda a diferenciar el proyecto tanto del simulador puramente técnico como del juego de supervivencia sin mediación política. La Casa no sobrevive simplemente: administra, invierte, arriesga, consolida posición y procura permanencia dentro del orden imperial.</w:t>
      </w:r>
    </w:p>
    <w:p w14:paraId="53FF72C7" w14:textId="45060543" w:rsidR="00731E18" w:rsidRPr="00731E18" w:rsidRDefault="00731E18" w:rsidP="00731E18">
      <w:pPr>
        <w:jc w:val="both"/>
        <w:rPr>
          <w:rFonts w:ascii="Times New Roman" w:hAnsi="Times New Roman" w:cs="Times New Roman"/>
          <w:sz w:val="24"/>
          <w:szCs w:val="24"/>
        </w:rPr>
      </w:pPr>
      <w:r w:rsidRPr="00731E18">
        <w:rPr>
          <w:rFonts w:ascii="Times New Roman" w:hAnsi="Times New Roman" w:cs="Times New Roman"/>
          <w:sz w:val="24"/>
          <w:szCs w:val="24"/>
        </w:rPr>
        <w:t>Traducción de la síntesis al diseño distribuido</w:t>
      </w:r>
    </w:p>
    <w:p w14:paraId="09E31D2E"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La pertinencia de esta fusión se confirma todavía más cuando se proyecta sobre la arquitectura distribuida exigida por la práctica. El cliente de administración se corresponde con la herencia de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Skylines: su tarea no es ejecutar la lógica del mundo, sino hacer legible el estado agregado del sistema, canalizar órdenes del jugador y mostrar con claridad instalaciones, criaturas, fondos, visitantes, recursos y eventos. Debe actuar como una cabina de mando, no como un mero formulario. La interfaz, por tanto, es un componente de gobierno y supervisión que recibe información de varios orígenes, la integra y la devuelve al usuario en una forma sintética, jerarquizada y operativamente útil.</w:t>
      </w:r>
    </w:p>
    <w:p w14:paraId="68E31BDD"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El servicio de simulación, en cambio, encarna la lógica de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En él reside la soberanía de las reglas: la alimentación según apetito y edad, la pérdida o recuperación de salud, la reproducción o clonación bajo determinadas condiciones, el cálculo de visitantes, la monetización asociada a la exhibición y la generación del registro de eventos. Su cometido es convertir las órdenes del jugador en consecuencias materiales y temporales. Desde el punto de vista del diseño de software, esto permite </w:t>
      </w:r>
      <w:r w:rsidRPr="00731E18">
        <w:rPr>
          <w:rFonts w:ascii="Times New Roman" w:hAnsi="Times New Roman" w:cs="Times New Roman"/>
          <w:color w:val="4472C4" w:themeColor="accent1"/>
          <w:sz w:val="24"/>
          <w:szCs w:val="24"/>
        </w:rPr>
        <w:lastRenderedPageBreak/>
        <w:t>separar con rigor la presentación del estado y la mecánica del mundo, y favorece una arquitectura preparada para crecer, distribuir carga, tratar errores y justificar técnicamente la elección de responsabilidades.</w:t>
      </w:r>
    </w:p>
    <w:p w14:paraId="6BB0E94A"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Por su parte, el servicio de persistencia garantiza la continuidad histórica de la Casa. No se limita a guardar un fichero, sino que conserva la memoria estructurada de partidas, configuraciones, criaturas, enclaves y eventos, permitiendo reanudar la simulación con coherencia y trazabilidad. Aquí converge la lógica de continuidad institucional sugerida por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con la necesidad técnica de una solución distribuida robusta. La persistencia asegura que el proyecto no sea una sucesión de estados efímeros, sino una operación acumulativa en la que las decisiones pretéritas siguen gravitando sobre el presente del jugador.</w:t>
      </w:r>
    </w:p>
    <w:p w14:paraId="7CF2AD52" w14:textId="77777777"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 xml:space="preserve">A la vista de lo anterior, la arquitectura distribuida no aparece como una obligación externa al diseño lúdico, sino como su forma más congruente. El cliente de administración permite gobernar; el servicio de simulación permite que el mundo reaccione; el servicio de persistencia permite que la Casa tenga duración y memoria. Entre los tres componentes se articula una solución capaz de reflejar, simultáneamente, presión ambiental, planificación infraestructural y racionalidad económico-corporativa. Precisamente por ello, la síntesis entre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xml:space="preserve">: Skylines y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no sólo resulta verosímil desde el punto de vista jugable, sino particularmente adecuada para defender la práctica ante criterios de diseño distribuido, separación de responsabilidades y coherencia sistémica.</w:t>
      </w:r>
    </w:p>
    <w:p w14:paraId="04F0234C" w14:textId="4AD413BD" w:rsidR="00731E18" w:rsidRPr="00731E18" w:rsidRDefault="00731E18" w:rsidP="00731E18">
      <w:pPr>
        <w:jc w:val="both"/>
        <w:rPr>
          <w:rFonts w:ascii="Times New Roman" w:hAnsi="Times New Roman" w:cs="Times New Roman"/>
          <w:sz w:val="24"/>
          <w:szCs w:val="24"/>
        </w:rPr>
      </w:pPr>
      <w:r w:rsidRPr="00731E18">
        <w:rPr>
          <w:rFonts w:ascii="Times New Roman" w:hAnsi="Times New Roman" w:cs="Times New Roman"/>
          <w:sz w:val="24"/>
          <w:szCs w:val="24"/>
        </w:rPr>
        <w:t>Conclusión</w:t>
      </w:r>
    </w:p>
    <w:p w14:paraId="5C92DCC0" w14:textId="0B86BB82" w:rsidR="00731E18" w:rsidRPr="00731E18" w:rsidRDefault="00731E18" w:rsidP="00731E18">
      <w:pPr>
        <w:ind w:firstLine="708"/>
        <w:jc w:val="both"/>
        <w:rPr>
          <w:rFonts w:ascii="Times New Roman" w:hAnsi="Times New Roman" w:cs="Times New Roman"/>
          <w:color w:val="4472C4" w:themeColor="accent1"/>
          <w:sz w:val="24"/>
          <w:szCs w:val="24"/>
        </w:rPr>
      </w:pPr>
      <w:r w:rsidRPr="00731E18">
        <w:rPr>
          <w:rFonts w:ascii="Times New Roman" w:hAnsi="Times New Roman" w:cs="Times New Roman"/>
          <w:color w:val="4472C4" w:themeColor="accent1"/>
          <w:sz w:val="24"/>
          <w:szCs w:val="24"/>
        </w:rPr>
        <w:t>La conclusión puede formularse sin ambigüedad: el modelo más sólido para “</w:t>
      </w:r>
      <w:proofErr w:type="spellStart"/>
      <w:r w:rsidRPr="00731E18">
        <w:rPr>
          <w:rFonts w:ascii="Times New Roman" w:hAnsi="Times New Roman" w:cs="Times New Roman"/>
          <w:color w:val="4472C4" w:themeColor="accent1"/>
          <w:sz w:val="24"/>
          <w:szCs w:val="24"/>
        </w:rPr>
        <w:t>Dune</w:t>
      </w:r>
      <w:proofErr w:type="spellEnd"/>
      <w:r w:rsidRPr="00731E18">
        <w:rPr>
          <w:rFonts w:ascii="Times New Roman" w:hAnsi="Times New Roman" w:cs="Times New Roman"/>
          <w:color w:val="4472C4" w:themeColor="accent1"/>
          <w:sz w:val="24"/>
          <w:szCs w:val="24"/>
        </w:rPr>
        <w:t xml:space="preserve">: Arrakis Dominion </w:t>
      </w:r>
      <w:proofErr w:type="spellStart"/>
      <w:r w:rsidRPr="00731E18">
        <w:rPr>
          <w:rFonts w:ascii="Times New Roman" w:hAnsi="Times New Roman" w:cs="Times New Roman"/>
          <w:color w:val="4472C4" w:themeColor="accent1"/>
          <w:sz w:val="24"/>
          <w:szCs w:val="24"/>
        </w:rPr>
        <w:t>Distributed</w:t>
      </w:r>
      <w:proofErr w:type="spellEnd"/>
      <w:r w:rsidRPr="00731E18">
        <w:rPr>
          <w:rFonts w:ascii="Times New Roman" w:hAnsi="Times New Roman" w:cs="Times New Roman"/>
          <w:color w:val="4472C4" w:themeColor="accent1"/>
          <w:sz w:val="24"/>
          <w:szCs w:val="24"/>
        </w:rPr>
        <w:t xml:space="preserve">” es un simulador de gestión estratégica hostil, articulado sobre rondas de consecuencias acumulativas, visualizado mediante un centro de mando de lectura agregada y reforzado por una lógica de Casa operativa que confiere densidad económica e institucional al conjunto. </w:t>
      </w:r>
      <w:proofErr w:type="spellStart"/>
      <w:r w:rsidRPr="00731E18">
        <w:rPr>
          <w:rFonts w:ascii="Times New Roman" w:hAnsi="Times New Roman" w:cs="Times New Roman"/>
          <w:color w:val="4472C4" w:themeColor="accent1"/>
          <w:sz w:val="24"/>
          <w:szCs w:val="24"/>
        </w:rPr>
        <w:t>Frostpunk</w:t>
      </w:r>
      <w:proofErr w:type="spellEnd"/>
      <w:r w:rsidRPr="00731E18">
        <w:rPr>
          <w:rFonts w:ascii="Times New Roman" w:hAnsi="Times New Roman" w:cs="Times New Roman"/>
          <w:color w:val="4472C4" w:themeColor="accent1"/>
          <w:sz w:val="24"/>
          <w:szCs w:val="24"/>
        </w:rPr>
        <w:t xml:space="preserve"> aporta el tono sistémico, la presión y el ritmo; </w:t>
      </w:r>
      <w:proofErr w:type="spellStart"/>
      <w:r w:rsidRPr="00731E18">
        <w:rPr>
          <w:rFonts w:ascii="Times New Roman" w:hAnsi="Times New Roman" w:cs="Times New Roman"/>
          <w:color w:val="4472C4" w:themeColor="accent1"/>
          <w:sz w:val="24"/>
          <w:szCs w:val="24"/>
        </w:rPr>
        <w:t>Cities</w:t>
      </w:r>
      <w:proofErr w:type="spellEnd"/>
      <w:r w:rsidRPr="00731E18">
        <w:rPr>
          <w:rFonts w:ascii="Times New Roman" w:hAnsi="Times New Roman" w:cs="Times New Roman"/>
          <w:color w:val="4472C4" w:themeColor="accent1"/>
          <w:sz w:val="24"/>
          <w:szCs w:val="24"/>
        </w:rPr>
        <w:t xml:space="preserve">: Skylines, la organización espacial y la inteligibilidad del control; The </w:t>
      </w:r>
      <w:proofErr w:type="spellStart"/>
      <w:r w:rsidRPr="00731E18">
        <w:rPr>
          <w:rFonts w:ascii="Times New Roman" w:hAnsi="Times New Roman" w:cs="Times New Roman"/>
          <w:color w:val="4472C4" w:themeColor="accent1"/>
          <w:sz w:val="24"/>
          <w:szCs w:val="24"/>
        </w:rPr>
        <w:t>Guild</w:t>
      </w:r>
      <w:proofErr w:type="spellEnd"/>
      <w:r w:rsidRPr="00731E18">
        <w:rPr>
          <w:rFonts w:ascii="Times New Roman" w:hAnsi="Times New Roman" w:cs="Times New Roman"/>
          <w:color w:val="4472C4" w:themeColor="accent1"/>
          <w:sz w:val="24"/>
          <w:szCs w:val="24"/>
        </w:rPr>
        <w:t xml:space="preserve"> 3, el espesor patrimonial y corporativo de la unidad jugable. Lejos de ser una mezcla ecléctica, esta síntesis permite responder con precisión a lo que la práctica solicita: gobierno de una Casa Menor, gestión de enclaves, criaturas, suministros, visitantes, fondos y eventos, y todo ello sobre una arquitectura distribuida clara, defendible y técnicamente coherente.</w:t>
      </w:r>
    </w:p>
    <w:sectPr w:rsidR="00731E18" w:rsidRPr="00731E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E18"/>
    <w:rsid w:val="000526D3"/>
    <w:rsid w:val="000C37BF"/>
    <w:rsid w:val="004B34D1"/>
    <w:rsid w:val="00731E18"/>
    <w:rsid w:val="007575CE"/>
    <w:rsid w:val="00ED2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BA124"/>
  <w15:chartTrackingRefBased/>
  <w15:docId w15:val="{1DA7A8DE-8156-49E1-8AE5-B6E8AE9D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1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31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31E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31E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31E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31E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1E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1E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1E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1E1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31E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31E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31E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31E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31E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1E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1E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1E18"/>
    <w:rPr>
      <w:rFonts w:eastAsiaTheme="majorEastAsia" w:cstheme="majorBidi"/>
      <w:color w:val="272727" w:themeColor="text1" w:themeTint="D8"/>
    </w:rPr>
  </w:style>
  <w:style w:type="paragraph" w:styleId="Ttulo">
    <w:name w:val="Title"/>
    <w:basedOn w:val="Normal"/>
    <w:next w:val="Normal"/>
    <w:link w:val="TtuloCar"/>
    <w:uiPriority w:val="10"/>
    <w:qFormat/>
    <w:rsid w:val="00731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1E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1E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1E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1E18"/>
    <w:pPr>
      <w:spacing w:before="160"/>
      <w:jc w:val="center"/>
    </w:pPr>
    <w:rPr>
      <w:i/>
      <w:iCs/>
      <w:color w:val="404040" w:themeColor="text1" w:themeTint="BF"/>
    </w:rPr>
  </w:style>
  <w:style w:type="character" w:customStyle="1" w:styleId="CitaCar">
    <w:name w:val="Cita Car"/>
    <w:basedOn w:val="Fuentedeprrafopredeter"/>
    <w:link w:val="Cita"/>
    <w:uiPriority w:val="29"/>
    <w:rsid w:val="00731E18"/>
    <w:rPr>
      <w:i/>
      <w:iCs/>
      <w:color w:val="404040" w:themeColor="text1" w:themeTint="BF"/>
    </w:rPr>
  </w:style>
  <w:style w:type="paragraph" w:styleId="Prrafodelista">
    <w:name w:val="List Paragraph"/>
    <w:basedOn w:val="Normal"/>
    <w:uiPriority w:val="34"/>
    <w:qFormat/>
    <w:rsid w:val="00731E18"/>
    <w:pPr>
      <w:ind w:left="720"/>
      <w:contextualSpacing/>
    </w:pPr>
  </w:style>
  <w:style w:type="character" w:styleId="nfasisintenso">
    <w:name w:val="Intense Emphasis"/>
    <w:basedOn w:val="Fuentedeprrafopredeter"/>
    <w:uiPriority w:val="21"/>
    <w:qFormat/>
    <w:rsid w:val="00731E18"/>
    <w:rPr>
      <w:i/>
      <w:iCs/>
      <w:color w:val="2F5496" w:themeColor="accent1" w:themeShade="BF"/>
    </w:rPr>
  </w:style>
  <w:style w:type="paragraph" w:styleId="Citadestacada">
    <w:name w:val="Intense Quote"/>
    <w:basedOn w:val="Normal"/>
    <w:next w:val="Normal"/>
    <w:link w:val="CitadestacadaCar"/>
    <w:uiPriority w:val="30"/>
    <w:qFormat/>
    <w:rsid w:val="00731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31E18"/>
    <w:rPr>
      <w:i/>
      <w:iCs/>
      <w:color w:val="2F5496" w:themeColor="accent1" w:themeShade="BF"/>
    </w:rPr>
  </w:style>
  <w:style w:type="character" w:styleId="Referenciaintensa">
    <w:name w:val="Intense Reference"/>
    <w:basedOn w:val="Fuentedeprrafopredeter"/>
    <w:uiPriority w:val="32"/>
    <w:qFormat/>
    <w:rsid w:val="00731E18"/>
    <w:rPr>
      <w:b/>
      <w:bCs/>
      <w:smallCaps/>
      <w:color w:val="2F5496" w:themeColor="accent1" w:themeShade="BF"/>
      <w:spacing w:val="5"/>
    </w:rPr>
  </w:style>
  <w:style w:type="table" w:styleId="Tablaconcuadrcula">
    <w:name w:val="Table Grid"/>
    <w:basedOn w:val="Tablanormal"/>
    <w:uiPriority w:val="59"/>
    <w:rsid w:val="00731E18"/>
    <w:pPr>
      <w:spacing w:after="0" w:line="240" w:lineRule="auto"/>
    </w:pPr>
    <w:rPr>
      <w:rFonts w:eastAsia="MS Mincho"/>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1814</Words>
  <Characters>9980</Characters>
  <Application>Microsoft Office Word</Application>
  <DocSecurity>0</DocSecurity>
  <Lines>83</Lines>
  <Paragraphs>23</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 Racing</dc:creator>
  <cp:keywords/>
  <dc:description/>
  <cp:lastModifiedBy>Jor Racing</cp:lastModifiedBy>
  <cp:revision>1</cp:revision>
  <dcterms:created xsi:type="dcterms:W3CDTF">2026-04-10T00:53:00Z</dcterms:created>
  <dcterms:modified xsi:type="dcterms:W3CDTF">2026-04-10T00:57:00Z</dcterms:modified>
</cp:coreProperties>
</file>