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87513" w14:textId="77777777" w:rsidR="00543481" w:rsidRDefault="00543481" w:rsidP="00543481">
      <w:pPr>
        <w:rPr>
          <w:lang w:val="en-US"/>
        </w:rPr>
      </w:pPr>
      <w:r>
        <w:rPr>
          <w:lang w:val="en-US"/>
        </w:rPr>
        <w:t xml:space="preserve">The report will the weak governance and ISM practices that were highlighted in the literature analysis, as they are the root cause of the NHS cyber incidents. The structure will translate these findings into an improvement plan for NHS cybersecurity. </w:t>
      </w:r>
    </w:p>
    <w:p w14:paraId="48301A91" w14:textId="77777777" w:rsidR="00543481" w:rsidRDefault="00543481" w:rsidP="00543481">
      <w:pPr>
        <w:rPr>
          <w:lang w:val="en-US"/>
        </w:rPr>
      </w:pPr>
      <w:r>
        <w:rPr>
          <w:lang w:val="en-US"/>
        </w:rPr>
        <w:t xml:space="preserve">Section 1 outlines rising cyber threats, explains the report’s aim to address non-technical vulnerabilities, and details the methodology guiding the report. </w:t>
      </w:r>
    </w:p>
    <w:p w14:paraId="7877FD25" w14:textId="77777777" w:rsidR="00543481" w:rsidRDefault="00543481" w:rsidP="00543481">
      <w:r w:rsidRPr="00CA1DC0">
        <w:t xml:space="preserve">Section 2 </w:t>
      </w:r>
      <w:r>
        <w:t>examines</w:t>
      </w:r>
      <w:r w:rsidRPr="00CA1DC0">
        <w:t xml:space="preserve"> recent NHS cyber incidents</w:t>
      </w:r>
      <w:r>
        <w:t xml:space="preserve">, such as the </w:t>
      </w:r>
      <w:proofErr w:type="spellStart"/>
      <w:r>
        <w:t>Synnovis</w:t>
      </w:r>
      <w:proofErr w:type="spellEnd"/>
      <w:r>
        <w:t xml:space="preserve"> ransomware attack,</w:t>
      </w:r>
      <w:r w:rsidRPr="00CA1DC0">
        <w:t xml:space="preserve"> a</w:t>
      </w:r>
      <w:r>
        <w:t xml:space="preserve">longside </w:t>
      </w:r>
      <w:r w:rsidRPr="00CA1DC0">
        <w:t>comparable attacks in ot</w:t>
      </w:r>
      <w:r>
        <w:t>her organisations, highlighting operational impacts and linking staff errors to governance and ISM weaknesses.</w:t>
      </w:r>
    </w:p>
    <w:p w14:paraId="2E3777CB" w14:textId="77777777" w:rsidR="00543481" w:rsidRDefault="00543481" w:rsidP="00543481">
      <w:r>
        <w:t xml:space="preserve">Section 3 identifies physical and non-physical NHS assets, assesses potential threats, and provides mitigation strategies for key risks like phishing, data misuse and governance failures. </w:t>
      </w:r>
    </w:p>
    <w:p w14:paraId="20FB6A42" w14:textId="77777777" w:rsidR="00543481" w:rsidRDefault="00543481" w:rsidP="00543481">
      <w:r>
        <w:t>Section 4 outlines a security policy that defines objectives, clarifies staff roles aligned with ISO/IEC 27001 principles, and recommends best practices to mitigate identified risks.</w:t>
      </w:r>
    </w:p>
    <w:p w14:paraId="682832B3" w14:textId="77777777" w:rsidR="00543481" w:rsidRDefault="00543481" w:rsidP="00543481">
      <w:r>
        <w:t xml:space="preserve">Section 5 presents a training and awareness plan that outlines objectives, target staff groups, training methods </w:t>
      </w:r>
      <w:r w:rsidRPr="007E1DCF">
        <w:t xml:space="preserve">and evaluation metrics </w:t>
      </w:r>
      <w:r>
        <w:t>to strengthen human behaviour.</w:t>
      </w:r>
    </w:p>
    <w:p w14:paraId="692DFD3A" w14:textId="77777777" w:rsidR="00543481" w:rsidRDefault="00543481" w:rsidP="00543481">
      <w:r w:rsidRPr="006A5D64">
        <w:t xml:space="preserve">Section 6 analyses relevant </w:t>
      </w:r>
      <w:r>
        <w:t>legislation</w:t>
      </w:r>
      <w:r w:rsidRPr="006A5D64">
        <w:t>, including GDPR</w:t>
      </w:r>
      <w:r>
        <w:t xml:space="preserve"> </w:t>
      </w:r>
      <w:r w:rsidRPr="006A5D64">
        <w:t xml:space="preserve">and the Data Protection Act, </w:t>
      </w:r>
      <w:r>
        <w:t>explaining compliance requirements and non-compliance risks.</w:t>
      </w:r>
    </w:p>
    <w:p w14:paraId="2458921C" w14:textId="77777777" w:rsidR="00543481" w:rsidRPr="00CA1DC0" w:rsidRDefault="00543481" w:rsidP="00543481">
      <w:r w:rsidRPr="006A5D64">
        <w:t>Section 7 summaris</w:t>
      </w:r>
      <w:r>
        <w:t>es</w:t>
      </w:r>
      <w:r w:rsidRPr="006A5D64">
        <w:t xml:space="preserve"> key findings and </w:t>
      </w:r>
      <w:r>
        <w:t>provides</w:t>
      </w:r>
      <w:r w:rsidRPr="006A5D64">
        <w:t xml:space="preserve"> recommendations to </w:t>
      </w:r>
      <w:r>
        <w:t xml:space="preserve">ISM </w:t>
      </w:r>
      <w:r w:rsidRPr="006A5D64">
        <w:t xml:space="preserve">and address </w:t>
      </w:r>
      <w:r>
        <w:t xml:space="preserve">systematic </w:t>
      </w:r>
      <w:r w:rsidRPr="006A5D64">
        <w:t>non-technical risks within the NHS.</w:t>
      </w:r>
    </w:p>
    <w:p w14:paraId="74E9EF32" w14:textId="77777777" w:rsidR="00543481" w:rsidRPr="00171377" w:rsidRDefault="00543481" w:rsidP="00543481">
      <w:pPr>
        <w:pStyle w:val="TOCHeading"/>
        <w:rPr>
          <w:rFonts w:ascii="Calibri" w:hAnsi="Calibri" w:cs="Calibri"/>
          <w:sz w:val="40"/>
          <w:szCs w:val="40"/>
        </w:rPr>
      </w:pPr>
      <w:r w:rsidRPr="00171377">
        <w:rPr>
          <w:rFonts w:ascii="Calibri" w:hAnsi="Calibri" w:cs="Calibri"/>
          <w:sz w:val="40"/>
          <w:szCs w:val="40"/>
        </w:rPr>
        <w:t>Table of Contents</w:t>
      </w:r>
    </w:p>
    <w:p w14:paraId="4D8A45C1" w14:textId="77777777" w:rsidR="00543481" w:rsidRPr="00171377" w:rsidRDefault="00543481" w:rsidP="00543481">
      <w:pPr>
        <w:pStyle w:val="ListParagraph"/>
        <w:numPr>
          <w:ilvl w:val="0"/>
          <w:numId w:val="1"/>
        </w:numPr>
        <w:rPr>
          <w:rFonts w:ascii="Calibri" w:hAnsi="Calibri" w:cs="Calibri"/>
          <w:b/>
          <w:bCs/>
        </w:rPr>
      </w:pPr>
      <w:r w:rsidRPr="00171377">
        <w:rPr>
          <w:rFonts w:ascii="Calibri" w:hAnsi="Calibri" w:cs="Calibri"/>
          <w:b/>
          <w:bCs/>
        </w:rPr>
        <w:t xml:space="preserve">Introduction </w:t>
      </w:r>
    </w:p>
    <w:p w14:paraId="4CA2C8DE" w14:textId="77777777" w:rsidR="00543481" w:rsidRPr="00171377" w:rsidRDefault="00543481" w:rsidP="00543481">
      <w:pPr>
        <w:pStyle w:val="ListParagraph"/>
        <w:numPr>
          <w:ilvl w:val="1"/>
          <w:numId w:val="1"/>
        </w:numPr>
        <w:rPr>
          <w:rFonts w:ascii="Calibri" w:hAnsi="Calibri" w:cs="Calibri"/>
        </w:rPr>
      </w:pPr>
      <w:r w:rsidRPr="00171377">
        <w:rPr>
          <w:rFonts w:ascii="Calibri" w:hAnsi="Calibri" w:cs="Calibri"/>
        </w:rPr>
        <w:t>Background: Introduces the scenario of increasing cyber threats targeting the NHS, highlighting the importance of addressing non-technical vulnerabilities.</w:t>
      </w:r>
    </w:p>
    <w:p w14:paraId="1C00B8A1" w14:textId="77777777" w:rsidR="00543481" w:rsidRPr="00171377" w:rsidRDefault="00543481" w:rsidP="00543481">
      <w:pPr>
        <w:pStyle w:val="ListParagraph"/>
        <w:numPr>
          <w:ilvl w:val="1"/>
          <w:numId w:val="1"/>
        </w:numPr>
        <w:rPr>
          <w:rFonts w:ascii="Calibri" w:hAnsi="Calibri" w:cs="Calibri"/>
        </w:rPr>
      </w:pPr>
      <w:r w:rsidRPr="00171377">
        <w:rPr>
          <w:rFonts w:ascii="Calibri" w:hAnsi="Calibri" w:cs="Calibri"/>
        </w:rPr>
        <w:t>Purpose: Explains the aim of the report.</w:t>
      </w:r>
    </w:p>
    <w:p w14:paraId="62B7B301" w14:textId="77777777" w:rsidR="00543481" w:rsidRPr="00171377" w:rsidRDefault="00543481" w:rsidP="00543481">
      <w:pPr>
        <w:pStyle w:val="ListParagraph"/>
        <w:numPr>
          <w:ilvl w:val="1"/>
          <w:numId w:val="1"/>
        </w:numPr>
        <w:rPr>
          <w:rFonts w:ascii="Calibri" w:hAnsi="Calibri" w:cs="Calibri"/>
        </w:rPr>
      </w:pPr>
      <w:r w:rsidRPr="00171377">
        <w:rPr>
          <w:rFonts w:ascii="Calibri" w:hAnsi="Calibri" w:cs="Calibri"/>
        </w:rPr>
        <w:t xml:space="preserve">Report Structure and Methodology: Describes how the report is organised and the approach taken. </w:t>
      </w:r>
    </w:p>
    <w:p w14:paraId="3C5B283F" w14:textId="77777777" w:rsidR="00543481" w:rsidRPr="00171377" w:rsidRDefault="00543481" w:rsidP="00543481">
      <w:pPr>
        <w:pStyle w:val="ListParagraph"/>
        <w:numPr>
          <w:ilvl w:val="0"/>
          <w:numId w:val="1"/>
        </w:numPr>
        <w:rPr>
          <w:rFonts w:ascii="Calibri" w:hAnsi="Calibri" w:cs="Calibri"/>
          <w:b/>
          <w:bCs/>
        </w:rPr>
      </w:pPr>
      <w:r w:rsidRPr="00171377">
        <w:rPr>
          <w:rFonts w:ascii="Calibri" w:hAnsi="Calibri" w:cs="Calibri"/>
          <w:b/>
          <w:bCs/>
        </w:rPr>
        <w:t xml:space="preserve">Analysis of Recent Incidents </w:t>
      </w:r>
    </w:p>
    <w:p w14:paraId="1023CE88" w14:textId="77777777" w:rsidR="00543481" w:rsidRPr="00171377" w:rsidRDefault="00543481" w:rsidP="00543481">
      <w:pPr>
        <w:pStyle w:val="ListParagraph"/>
        <w:numPr>
          <w:ilvl w:val="1"/>
          <w:numId w:val="1"/>
        </w:numPr>
        <w:rPr>
          <w:rFonts w:ascii="Calibri" w:hAnsi="Calibri" w:cs="Calibri"/>
        </w:rPr>
      </w:pPr>
      <w:r w:rsidRPr="00171377">
        <w:rPr>
          <w:rFonts w:ascii="Calibri" w:hAnsi="Calibri" w:cs="Calibri"/>
        </w:rPr>
        <w:t xml:space="preserve">Incident Outline: Summarises the recent NHS incidents, highlighting the impact on operations. </w:t>
      </w:r>
    </w:p>
    <w:p w14:paraId="48B7027C" w14:textId="77777777" w:rsidR="00543481" w:rsidRPr="00171377" w:rsidRDefault="00543481" w:rsidP="00543481">
      <w:pPr>
        <w:pStyle w:val="ListParagraph"/>
        <w:numPr>
          <w:ilvl w:val="1"/>
          <w:numId w:val="1"/>
        </w:numPr>
        <w:rPr>
          <w:rFonts w:ascii="Calibri" w:hAnsi="Calibri" w:cs="Calibri"/>
        </w:rPr>
      </w:pPr>
      <w:r w:rsidRPr="00171377">
        <w:rPr>
          <w:rFonts w:ascii="Calibri" w:hAnsi="Calibri" w:cs="Calibri"/>
        </w:rPr>
        <w:t>Similar Incidents Provides examples of comparable attacks in other organisations to show recurring vulnerabilities and potential lessons to learn.</w:t>
      </w:r>
    </w:p>
    <w:p w14:paraId="2FE72909" w14:textId="77777777" w:rsidR="00543481" w:rsidRPr="00171377" w:rsidRDefault="00543481" w:rsidP="00543481">
      <w:pPr>
        <w:pStyle w:val="ListParagraph"/>
        <w:numPr>
          <w:ilvl w:val="1"/>
          <w:numId w:val="1"/>
        </w:numPr>
        <w:rPr>
          <w:rFonts w:ascii="Calibri" w:hAnsi="Calibri" w:cs="Calibri"/>
        </w:rPr>
      </w:pPr>
      <w:r w:rsidRPr="00171377">
        <w:rPr>
          <w:rFonts w:ascii="Calibri" w:hAnsi="Calibri" w:cs="Calibri"/>
        </w:rPr>
        <w:t xml:space="preserve">Non-technical Causes: Critically examines evidence linking NHS incidents to staff awareness, governance lapses, and weak ISM frameworks. Integrates findings from </w:t>
      </w:r>
      <w:proofErr w:type="spellStart"/>
      <w:r w:rsidRPr="00171377">
        <w:rPr>
          <w:rFonts w:ascii="Calibri" w:hAnsi="Calibri" w:cs="Calibri"/>
        </w:rPr>
        <w:t>Nifakos</w:t>
      </w:r>
      <w:proofErr w:type="spellEnd"/>
      <w:r w:rsidRPr="00171377">
        <w:rPr>
          <w:rFonts w:ascii="Calibri" w:hAnsi="Calibri" w:cs="Calibri"/>
        </w:rPr>
        <w:t xml:space="preserve"> et al. (2021) and </w:t>
      </w:r>
      <w:proofErr w:type="spellStart"/>
      <w:r w:rsidRPr="00171377">
        <w:rPr>
          <w:rFonts w:ascii="Calibri" w:hAnsi="Calibri" w:cs="Calibri"/>
        </w:rPr>
        <w:t>Ewoh</w:t>
      </w:r>
      <w:proofErr w:type="spellEnd"/>
      <w:r w:rsidRPr="00171377">
        <w:rPr>
          <w:rFonts w:ascii="Calibri" w:hAnsi="Calibri" w:cs="Calibri"/>
        </w:rPr>
        <w:t xml:space="preserve"> et al. (2025). </w:t>
      </w:r>
    </w:p>
    <w:p w14:paraId="521E1DE1" w14:textId="77777777" w:rsidR="00543481" w:rsidRPr="00171377" w:rsidRDefault="00543481" w:rsidP="00543481">
      <w:pPr>
        <w:pStyle w:val="ListParagraph"/>
        <w:numPr>
          <w:ilvl w:val="0"/>
          <w:numId w:val="1"/>
        </w:numPr>
        <w:rPr>
          <w:rFonts w:ascii="Calibri" w:hAnsi="Calibri" w:cs="Calibri"/>
          <w:b/>
          <w:bCs/>
          <w:lang w:val="en-US"/>
        </w:rPr>
      </w:pPr>
      <w:r w:rsidRPr="00171377">
        <w:rPr>
          <w:rFonts w:ascii="Calibri" w:hAnsi="Calibri" w:cs="Calibri"/>
          <w:b/>
          <w:bCs/>
          <w:lang w:val="en-US"/>
        </w:rPr>
        <w:t>Asset Inventory and Risk Analysis</w:t>
      </w:r>
    </w:p>
    <w:p w14:paraId="686D11E2" w14:textId="77777777" w:rsidR="00543481" w:rsidRPr="00171377" w:rsidRDefault="00543481" w:rsidP="00543481">
      <w:pPr>
        <w:pStyle w:val="ListParagraph"/>
        <w:numPr>
          <w:ilvl w:val="1"/>
          <w:numId w:val="1"/>
        </w:numPr>
        <w:rPr>
          <w:rFonts w:ascii="Calibri" w:hAnsi="Calibri" w:cs="Calibri"/>
          <w:lang w:val="en-US"/>
        </w:rPr>
      </w:pPr>
      <w:r w:rsidRPr="00171377">
        <w:rPr>
          <w:rFonts w:ascii="Calibri" w:hAnsi="Calibri" w:cs="Calibri"/>
          <w:lang w:val="en-US"/>
        </w:rPr>
        <w:t xml:space="preserve">Assets: </w:t>
      </w:r>
    </w:p>
    <w:p w14:paraId="3B540071" w14:textId="77777777" w:rsidR="00543481" w:rsidRPr="00171377" w:rsidRDefault="00543481" w:rsidP="00543481">
      <w:pPr>
        <w:pStyle w:val="ListParagraph"/>
        <w:numPr>
          <w:ilvl w:val="2"/>
          <w:numId w:val="1"/>
        </w:numPr>
        <w:rPr>
          <w:rFonts w:ascii="Calibri" w:hAnsi="Calibri" w:cs="Calibri"/>
          <w:lang w:val="en-US"/>
        </w:rPr>
      </w:pPr>
      <w:r w:rsidRPr="00171377">
        <w:rPr>
          <w:rFonts w:ascii="Calibri" w:hAnsi="Calibri" w:cs="Calibri"/>
          <w:lang w:val="en-US"/>
        </w:rPr>
        <w:t xml:space="preserve"> Physical: List of physical assets that the NHS might have (e.g., computers, MRI machines, servers, etc.)</w:t>
      </w:r>
    </w:p>
    <w:p w14:paraId="20A1B3C3" w14:textId="77777777" w:rsidR="00543481" w:rsidRPr="00171377" w:rsidRDefault="00543481" w:rsidP="00543481">
      <w:pPr>
        <w:pStyle w:val="ListParagraph"/>
        <w:numPr>
          <w:ilvl w:val="2"/>
          <w:numId w:val="1"/>
        </w:numPr>
        <w:rPr>
          <w:rFonts w:ascii="Calibri" w:hAnsi="Calibri" w:cs="Calibri"/>
          <w:lang w:val="en-US"/>
        </w:rPr>
      </w:pPr>
      <w:r w:rsidRPr="00171377">
        <w:rPr>
          <w:rFonts w:ascii="Calibri" w:hAnsi="Calibri" w:cs="Calibri"/>
          <w:lang w:val="en-US"/>
        </w:rPr>
        <w:t xml:space="preserve"> Non-Physical: List of any assets that aren’t physical (e.g., contracts, customer relationships, patient data, etc.)</w:t>
      </w:r>
    </w:p>
    <w:p w14:paraId="767A08F8" w14:textId="77777777" w:rsidR="00543481" w:rsidRPr="00171377" w:rsidRDefault="00543481" w:rsidP="00543481">
      <w:pPr>
        <w:pStyle w:val="ListParagraph"/>
        <w:numPr>
          <w:ilvl w:val="1"/>
          <w:numId w:val="1"/>
        </w:numPr>
        <w:rPr>
          <w:rFonts w:ascii="Calibri" w:hAnsi="Calibri" w:cs="Calibri"/>
          <w:lang w:val="en-US"/>
        </w:rPr>
      </w:pPr>
      <w:r w:rsidRPr="00171377">
        <w:rPr>
          <w:rFonts w:ascii="Calibri" w:hAnsi="Calibri" w:cs="Calibri"/>
          <w:lang w:val="en-US"/>
        </w:rPr>
        <w:t xml:space="preserve">Risk Assessment: Detailed description of potential threats to each asset and their likelihood/impact. </w:t>
      </w:r>
    </w:p>
    <w:p w14:paraId="42B6F6B9" w14:textId="77777777" w:rsidR="00543481" w:rsidRPr="00171377" w:rsidRDefault="00543481" w:rsidP="00543481">
      <w:pPr>
        <w:pStyle w:val="ListParagraph"/>
        <w:numPr>
          <w:ilvl w:val="1"/>
          <w:numId w:val="1"/>
        </w:numPr>
        <w:rPr>
          <w:rFonts w:ascii="Calibri" w:hAnsi="Calibri" w:cs="Calibri"/>
          <w:lang w:val="en-US"/>
        </w:rPr>
      </w:pPr>
      <w:r w:rsidRPr="00171377">
        <w:rPr>
          <w:rFonts w:ascii="Calibri" w:hAnsi="Calibri" w:cs="Calibri"/>
          <w:lang w:val="en-US"/>
        </w:rPr>
        <w:lastRenderedPageBreak/>
        <w:t xml:space="preserve">Key Risks and Mitigations: Analyse risks (e.g., phishing, data misuse, weak governance) giving mitigation strategies to reduce or manage them, including any measures already in place. </w:t>
      </w:r>
    </w:p>
    <w:p w14:paraId="0023EEF4" w14:textId="77777777" w:rsidR="00543481" w:rsidRPr="00171377" w:rsidRDefault="00543481" w:rsidP="00543481">
      <w:pPr>
        <w:pStyle w:val="ListParagraph"/>
        <w:numPr>
          <w:ilvl w:val="0"/>
          <w:numId w:val="1"/>
        </w:numPr>
        <w:rPr>
          <w:rFonts w:ascii="Calibri" w:hAnsi="Calibri" w:cs="Calibri"/>
          <w:b/>
          <w:bCs/>
          <w:lang w:val="en-US"/>
        </w:rPr>
      </w:pPr>
      <w:r w:rsidRPr="00171377">
        <w:rPr>
          <w:rFonts w:ascii="Calibri" w:hAnsi="Calibri" w:cs="Calibri"/>
          <w:b/>
          <w:bCs/>
          <w:lang w:val="en-US"/>
        </w:rPr>
        <w:t xml:space="preserve">Security Policy </w:t>
      </w:r>
    </w:p>
    <w:p w14:paraId="7D92AEA6" w14:textId="77777777" w:rsidR="00543481" w:rsidRPr="00171377" w:rsidRDefault="00543481" w:rsidP="00543481">
      <w:pPr>
        <w:pStyle w:val="ListParagraph"/>
        <w:numPr>
          <w:ilvl w:val="1"/>
          <w:numId w:val="1"/>
        </w:numPr>
        <w:rPr>
          <w:rFonts w:ascii="Calibri" w:hAnsi="Calibri" w:cs="Calibri"/>
          <w:lang w:val="en-US"/>
        </w:rPr>
      </w:pPr>
      <w:r w:rsidRPr="00171377">
        <w:rPr>
          <w:rFonts w:ascii="Calibri" w:hAnsi="Calibri" w:cs="Calibri"/>
          <w:lang w:val="en-US"/>
        </w:rPr>
        <w:t>Policy Objectives: Explains the goals of the policy and how it addresses identified risks.</w:t>
      </w:r>
    </w:p>
    <w:p w14:paraId="7F43165B" w14:textId="77777777" w:rsidR="00543481" w:rsidRPr="00171377" w:rsidRDefault="00543481" w:rsidP="00543481">
      <w:pPr>
        <w:pStyle w:val="ListParagraph"/>
        <w:numPr>
          <w:ilvl w:val="1"/>
          <w:numId w:val="1"/>
        </w:numPr>
        <w:rPr>
          <w:rFonts w:ascii="Calibri" w:hAnsi="Calibri" w:cs="Calibri"/>
          <w:lang w:val="en-US"/>
        </w:rPr>
      </w:pPr>
      <w:r w:rsidRPr="00171377">
        <w:rPr>
          <w:rFonts w:ascii="Calibri" w:hAnsi="Calibri" w:cs="Calibri"/>
          <w:lang w:val="en-US"/>
        </w:rPr>
        <w:t xml:space="preserve">Roles and Responsibilities: Outlines the staff responsibilities in protecting assets and enforcing security measures which aligns with </w:t>
      </w:r>
      <w:r w:rsidRPr="00171377">
        <w:rPr>
          <w:rFonts w:ascii="Calibri" w:hAnsi="Calibri" w:cs="Calibri"/>
        </w:rPr>
        <w:t>ISO/IEC 27001 principles to ensure governance consistency.</w:t>
      </w:r>
    </w:p>
    <w:p w14:paraId="4BBD999E" w14:textId="77777777" w:rsidR="00543481" w:rsidRPr="00171377" w:rsidRDefault="00543481" w:rsidP="00543481">
      <w:pPr>
        <w:pStyle w:val="ListParagraph"/>
        <w:numPr>
          <w:ilvl w:val="1"/>
          <w:numId w:val="1"/>
        </w:numPr>
        <w:rPr>
          <w:rFonts w:ascii="Calibri" w:hAnsi="Calibri" w:cs="Calibri"/>
          <w:lang w:val="en-US"/>
        </w:rPr>
      </w:pPr>
      <w:r w:rsidRPr="00171377">
        <w:rPr>
          <w:rFonts w:ascii="Calibri" w:hAnsi="Calibri" w:cs="Calibri"/>
          <w:lang w:val="en-US"/>
        </w:rPr>
        <w:t xml:space="preserve">Recommended Practices: Provides steps and best practices for mitigating identified risks.  </w:t>
      </w:r>
    </w:p>
    <w:p w14:paraId="43BB2647" w14:textId="77777777" w:rsidR="00543481" w:rsidRPr="00171377" w:rsidRDefault="00543481" w:rsidP="00543481">
      <w:pPr>
        <w:pStyle w:val="ListParagraph"/>
        <w:numPr>
          <w:ilvl w:val="0"/>
          <w:numId w:val="1"/>
        </w:numPr>
        <w:rPr>
          <w:rFonts w:ascii="Calibri" w:hAnsi="Calibri" w:cs="Calibri"/>
          <w:b/>
          <w:bCs/>
          <w:lang w:val="en-US"/>
        </w:rPr>
      </w:pPr>
      <w:r w:rsidRPr="00171377">
        <w:rPr>
          <w:rFonts w:ascii="Calibri" w:hAnsi="Calibri" w:cs="Calibri"/>
          <w:b/>
          <w:bCs/>
          <w:lang w:val="en-US"/>
        </w:rPr>
        <w:t>Training and Awareness Plan</w:t>
      </w:r>
    </w:p>
    <w:p w14:paraId="7DB85080" w14:textId="77777777" w:rsidR="00543481" w:rsidRPr="00171377" w:rsidRDefault="00543481" w:rsidP="00543481">
      <w:pPr>
        <w:pStyle w:val="ListParagraph"/>
        <w:numPr>
          <w:ilvl w:val="1"/>
          <w:numId w:val="1"/>
        </w:numPr>
        <w:rPr>
          <w:rFonts w:ascii="Calibri" w:hAnsi="Calibri" w:cs="Calibri"/>
          <w:lang w:val="en-US"/>
        </w:rPr>
      </w:pPr>
      <w:r w:rsidRPr="00171377">
        <w:rPr>
          <w:rFonts w:ascii="Calibri" w:hAnsi="Calibri" w:cs="Calibri"/>
          <w:lang w:val="en-US"/>
        </w:rPr>
        <w:t xml:space="preserve">Objectives and Audience: Describes the goals of the training plan and the staff groups who will participate. </w:t>
      </w:r>
    </w:p>
    <w:p w14:paraId="22F52F1F" w14:textId="77777777" w:rsidR="00543481" w:rsidRPr="00171377" w:rsidRDefault="00543481" w:rsidP="00543481">
      <w:pPr>
        <w:pStyle w:val="ListParagraph"/>
        <w:numPr>
          <w:ilvl w:val="1"/>
          <w:numId w:val="1"/>
        </w:numPr>
        <w:rPr>
          <w:rFonts w:ascii="Calibri" w:hAnsi="Calibri" w:cs="Calibri"/>
          <w:lang w:val="en-US"/>
        </w:rPr>
      </w:pPr>
      <w:r w:rsidRPr="00171377">
        <w:rPr>
          <w:rFonts w:ascii="Calibri" w:hAnsi="Calibri" w:cs="Calibri"/>
          <w:lang w:val="en-US"/>
        </w:rPr>
        <w:t xml:space="preserve">Activities and Implementation: Outlines the training methods, such as workshops, e-learning, and practical exercises. </w:t>
      </w:r>
    </w:p>
    <w:p w14:paraId="331D6C0A" w14:textId="77777777" w:rsidR="00543481" w:rsidRPr="00171377" w:rsidRDefault="00543481" w:rsidP="00543481">
      <w:pPr>
        <w:pStyle w:val="ListParagraph"/>
        <w:numPr>
          <w:ilvl w:val="1"/>
          <w:numId w:val="1"/>
        </w:numPr>
        <w:rPr>
          <w:rFonts w:ascii="Calibri" w:hAnsi="Calibri" w:cs="Calibri"/>
          <w:lang w:val="en-US"/>
        </w:rPr>
      </w:pPr>
      <w:r w:rsidRPr="00171377">
        <w:rPr>
          <w:rFonts w:ascii="Calibri" w:hAnsi="Calibri" w:cs="Calibri"/>
          <w:lang w:val="en-US"/>
        </w:rPr>
        <w:t xml:space="preserve">Evaluation: </w:t>
      </w:r>
      <w:r w:rsidRPr="00171377">
        <w:rPr>
          <w:rFonts w:ascii="Calibri" w:hAnsi="Calibri" w:cs="Calibri"/>
        </w:rPr>
        <w:t>Outlines post-training performance indicators (e.g., phishing test success rates, compliance audit scores).</w:t>
      </w:r>
    </w:p>
    <w:p w14:paraId="0AC682D1" w14:textId="77777777" w:rsidR="00543481" w:rsidRPr="00171377" w:rsidRDefault="00543481" w:rsidP="00543481">
      <w:pPr>
        <w:pStyle w:val="ListParagraph"/>
        <w:numPr>
          <w:ilvl w:val="0"/>
          <w:numId w:val="1"/>
        </w:numPr>
        <w:rPr>
          <w:rFonts w:ascii="Calibri" w:hAnsi="Calibri" w:cs="Calibri"/>
          <w:b/>
          <w:bCs/>
          <w:lang w:val="en-US"/>
        </w:rPr>
      </w:pPr>
      <w:r w:rsidRPr="00171377">
        <w:rPr>
          <w:rFonts w:ascii="Calibri" w:hAnsi="Calibri" w:cs="Calibri"/>
          <w:b/>
          <w:bCs/>
          <w:lang w:val="en-US"/>
        </w:rPr>
        <w:t>Consideration and Analysis of UK/EU Laws</w:t>
      </w:r>
    </w:p>
    <w:p w14:paraId="7C9554D4" w14:textId="77777777" w:rsidR="00543481" w:rsidRPr="00171377" w:rsidRDefault="00543481" w:rsidP="00543481">
      <w:pPr>
        <w:pStyle w:val="ListParagraph"/>
        <w:numPr>
          <w:ilvl w:val="1"/>
          <w:numId w:val="1"/>
        </w:numPr>
        <w:rPr>
          <w:rFonts w:ascii="Calibri" w:hAnsi="Calibri" w:cs="Calibri"/>
          <w:lang w:val="en-US"/>
        </w:rPr>
      </w:pPr>
      <w:r w:rsidRPr="00171377">
        <w:rPr>
          <w:rFonts w:ascii="Calibri" w:hAnsi="Calibri" w:cs="Calibri"/>
          <w:lang w:val="en-US"/>
        </w:rPr>
        <w:t xml:space="preserve">Identification of Key Laws: Lists the relevant legislation (e.g., GDPR, NIS2, Data Protection Act) and other security-related regulations. </w:t>
      </w:r>
    </w:p>
    <w:p w14:paraId="07E43F1B" w14:textId="77777777" w:rsidR="00543481" w:rsidRPr="00171377" w:rsidRDefault="00543481" w:rsidP="00543481">
      <w:pPr>
        <w:pStyle w:val="ListParagraph"/>
        <w:numPr>
          <w:ilvl w:val="1"/>
          <w:numId w:val="1"/>
        </w:numPr>
        <w:rPr>
          <w:rFonts w:ascii="Calibri" w:hAnsi="Calibri" w:cs="Calibri"/>
          <w:lang w:val="en-US"/>
        </w:rPr>
      </w:pPr>
      <w:r w:rsidRPr="00171377">
        <w:rPr>
          <w:rFonts w:ascii="Calibri" w:hAnsi="Calibri" w:cs="Calibri"/>
          <w:lang w:val="en-US"/>
        </w:rPr>
        <w:t xml:space="preserve">Compliance Requirements and Implications: Explains practical steps to adhere to the legal requirements and also the risks of non-compliance. </w:t>
      </w:r>
    </w:p>
    <w:p w14:paraId="5A55AC79" w14:textId="77777777" w:rsidR="00543481" w:rsidRPr="00171377" w:rsidRDefault="00543481" w:rsidP="00543481">
      <w:pPr>
        <w:pStyle w:val="ListParagraph"/>
        <w:numPr>
          <w:ilvl w:val="0"/>
          <w:numId w:val="1"/>
        </w:numPr>
        <w:rPr>
          <w:rFonts w:ascii="Calibri" w:hAnsi="Calibri" w:cs="Calibri"/>
          <w:b/>
          <w:bCs/>
          <w:lang w:val="en-US"/>
        </w:rPr>
      </w:pPr>
      <w:r w:rsidRPr="00171377">
        <w:rPr>
          <w:rFonts w:ascii="Calibri" w:hAnsi="Calibri" w:cs="Calibri"/>
          <w:b/>
          <w:bCs/>
          <w:lang w:val="en-US"/>
        </w:rPr>
        <w:t xml:space="preserve">Conclusion </w:t>
      </w:r>
    </w:p>
    <w:p w14:paraId="23C68A9B" w14:textId="77777777" w:rsidR="00543481" w:rsidRPr="00171377" w:rsidRDefault="00543481" w:rsidP="00543481">
      <w:pPr>
        <w:pStyle w:val="ListParagraph"/>
        <w:numPr>
          <w:ilvl w:val="1"/>
          <w:numId w:val="1"/>
        </w:numPr>
        <w:rPr>
          <w:rFonts w:ascii="Calibri" w:hAnsi="Calibri" w:cs="Calibri"/>
          <w:lang w:val="en-US"/>
        </w:rPr>
      </w:pPr>
      <w:r w:rsidRPr="00171377">
        <w:rPr>
          <w:rFonts w:ascii="Calibri" w:hAnsi="Calibri" w:cs="Calibri"/>
          <w:lang w:val="en-US"/>
        </w:rPr>
        <w:t>Summary: Highlights key findings and outcomes of the report.</w:t>
      </w:r>
    </w:p>
    <w:p w14:paraId="12C01E53" w14:textId="77777777" w:rsidR="00543481" w:rsidRPr="00171377" w:rsidRDefault="00543481" w:rsidP="00543481">
      <w:pPr>
        <w:pStyle w:val="ListParagraph"/>
        <w:numPr>
          <w:ilvl w:val="1"/>
          <w:numId w:val="1"/>
        </w:numPr>
        <w:rPr>
          <w:rFonts w:ascii="Calibri" w:hAnsi="Calibri" w:cs="Calibri"/>
          <w:lang w:val="en-US"/>
        </w:rPr>
      </w:pPr>
      <w:r w:rsidRPr="00171377">
        <w:rPr>
          <w:rFonts w:ascii="Calibri" w:hAnsi="Calibri" w:cs="Calibri"/>
          <w:lang w:val="en-US"/>
        </w:rPr>
        <w:t>Recommendations: Provides suggestions for future considerations to enhance information security management and reduce non-technical risks.</w:t>
      </w:r>
    </w:p>
    <w:p w14:paraId="2AF446E5" w14:textId="77777777" w:rsidR="00524569" w:rsidRPr="00543481" w:rsidRDefault="00524569">
      <w:pPr>
        <w:rPr>
          <w:lang w:val="en-US"/>
        </w:rPr>
      </w:pPr>
    </w:p>
    <w:sectPr w:rsidR="00524569" w:rsidRPr="005434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269C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50829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3E0"/>
    <w:rsid w:val="00082A5A"/>
    <w:rsid w:val="000D2EC2"/>
    <w:rsid w:val="004F43E0"/>
    <w:rsid w:val="00524569"/>
    <w:rsid w:val="00543481"/>
    <w:rsid w:val="006548E9"/>
    <w:rsid w:val="006B5677"/>
    <w:rsid w:val="006C7B28"/>
    <w:rsid w:val="00D65E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6DED2"/>
  <w15:chartTrackingRefBased/>
  <w15:docId w15:val="{BD99A4AB-E645-4746-ADD2-DCDDCECE8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481"/>
  </w:style>
  <w:style w:type="paragraph" w:styleId="Heading1">
    <w:name w:val="heading 1"/>
    <w:basedOn w:val="Normal"/>
    <w:link w:val="Heading1Char"/>
    <w:uiPriority w:val="9"/>
    <w:qFormat/>
    <w:rsid w:val="000D2EC2"/>
    <w:pPr>
      <w:keepNext/>
      <w:keepLines/>
      <w:spacing w:before="400" w:after="200" w:line="240" w:lineRule="auto"/>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next w:val="Normal"/>
    <w:link w:val="Heading2Char"/>
    <w:uiPriority w:val="9"/>
    <w:semiHidden/>
    <w:unhideWhenUsed/>
    <w:qFormat/>
    <w:rsid w:val="004F43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43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43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43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43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3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3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3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EC2"/>
    <w:rPr>
      <w:rFonts w:asciiTheme="majorHAnsi" w:eastAsiaTheme="majorEastAsia" w:hAnsiTheme="majorHAnsi" w:cstheme="majorBidi"/>
      <w:b/>
      <w:caps/>
      <w:color w:val="262626" w:themeColor="text1" w:themeTint="D9"/>
      <w:sz w:val="28"/>
      <w:szCs w:val="32"/>
    </w:rPr>
  </w:style>
  <w:style w:type="paragraph" w:styleId="Title">
    <w:name w:val="Title"/>
    <w:basedOn w:val="Normal"/>
    <w:link w:val="TitleChar"/>
    <w:uiPriority w:val="1"/>
    <w:qFormat/>
    <w:rsid w:val="000D2EC2"/>
    <w:pPr>
      <w:spacing w:after="0" w:line="240" w:lineRule="auto"/>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0D2EC2"/>
    <w:rPr>
      <w:rFonts w:asciiTheme="majorHAnsi" w:eastAsiaTheme="majorEastAsia" w:hAnsiTheme="majorHAnsi" w:cstheme="majorBidi"/>
      <w:caps/>
      <w:kern w:val="28"/>
      <w:sz w:val="70"/>
      <w:szCs w:val="56"/>
    </w:rPr>
  </w:style>
  <w:style w:type="character" w:customStyle="1" w:styleId="Heading2Char">
    <w:name w:val="Heading 2 Char"/>
    <w:basedOn w:val="DefaultParagraphFont"/>
    <w:link w:val="Heading2"/>
    <w:uiPriority w:val="9"/>
    <w:semiHidden/>
    <w:rsid w:val="004F43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43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43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43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43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3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3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3E0"/>
    <w:rPr>
      <w:rFonts w:eastAsiaTheme="majorEastAsia" w:cstheme="majorBidi"/>
      <w:color w:val="272727" w:themeColor="text1" w:themeTint="D8"/>
    </w:rPr>
  </w:style>
  <w:style w:type="paragraph" w:styleId="Subtitle">
    <w:name w:val="Subtitle"/>
    <w:basedOn w:val="Normal"/>
    <w:next w:val="Normal"/>
    <w:link w:val="SubtitleChar"/>
    <w:uiPriority w:val="11"/>
    <w:qFormat/>
    <w:rsid w:val="004F43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3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3E0"/>
    <w:pPr>
      <w:spacing w:before="160"/>
      <w:jc w:val="center"/>
    </w:pPr>
    <w:rPr>
      <w:i/>
      <w:iCs/>
      <w:color w:val="404040" w:themeColor="text1" w:themeTint="BF"/>
    </w:rPr>
  </w:style>
  <w:style w:type="character" w:customStyle="1" w:styleId="QuoteChar">
    <w:name w:val="Quote Char"/>
    <w:basedOn w:val="DefaultParagraphFont"/>
    <w:link w:val="Quote"/>
    <w:uiPriority w:val="29"/>
    <w:rsid w:val="004F43E0"/>
    <w:rPr>
      <w:i/>
      <w:iCs/>
      <w:color w:val="404040" w:themeColor="text1" w:themeTint="BF"/>
    </w:rPr>
  </w:style>
  <w:style w:type="paragraph" w:styleId="ListParagraph">
    <w:name w:val="List Paragraph"/>
    <w:basedOn w:val="Normal"/>
    <w:uiPriority w:val="34"/>
    <w:qFormat/>
    <w:rsid w:val="004F43E0"/>
    <w:pPr>
      <w:ind w:left="720"/>
      <w:contextualSpacing/>
    </w:pPr>
  </w:style>
  <w:style w:type="character" w:styleId="IntenseEmphasis">
    <w:name w:val="Intense Emphasis"/>
    <w:basedOn w:val="DefaultParagraphFont"/>
    <w:uiPriority w:val="21"/>
    <w:qFormat/>
    <w:rsid w:val="004F43E0"/>
    <w:rPr>
      <w:i/>
      <w:iCs/>
      <w:color w:val="0F4761" w:themeColor="accent1" w:themeShade="BF"/>
    </w:rPr>
  </w:style>
  <w:style w:type="paragraph" w:styleId="IntenseQuote">
    <w:name w:val="Intense Quote"/>
    <w:basedOn w:val="Normal"/>
    <w:next w:val="Normal"/>
    <w:link w:val="IntenseQuoteChar"/>
    <w:uiPriority w:val="30"/>
    <w:qFormat/>
    <w:rsid w:val="004F43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3E0"/>
    <w:rPr>
      <w:i/>
      <w:iCs/>
      <w:color w:val="0F4761" w:themeColor="accent1" w:themeShade="BF"/>
    </w:rPr>
  </w:style>
  <w:style w:type="character" w:styleId="IntenseReference">
    <w:name w:val="Intense Reference"/>
    <w:basedOn w:val="DefaultParagraphFont"/>
    <w:uiPriority w:val="32"/>
    <w:qFormat/>
    <w:rsid w:val="004F43E0"/>
    <w:rPr>
      <w:b/>
      <w:bCs/>
      <w:smallCaps/>
      <w:color w:val="0F4761" w:themeColor="accent1" w:themeShade="BF"/>
      <w:spacing w:val="5"/>
    </w:rPr>
  </w:style>
  <w:style w:type="paragraph" w:styleId="TOCHeading">
    <w:name w:val="TOC Heading"/>
    <w:basedOn w:val="Heading1"/>
    <w:next w:val="Normal"/>
    <w:uiPriority w:val="39"/>
    <w:unhideWhenUsed/>
    <w:qFormat/>
    <w:rsid w:val="00543481"/>
    <w:pPr>
      <w:spacing w:before="240" w:after="0" w:line="259" w:lineRule="auto"/>
      <w:contextualSpacing w:val="0"/>
      <w:outlineLvl w:val="9"/>
    </w:pPr>
    <w:rPr>
      <w:b w:val="0"/>
      <w:caps w:val="0"/>
      <w:color w:val="0F4761" w:themeColor="accent1" w:themeShade="BF"/>
      <w:kern w:val="0"/>
      <w:sz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615</Words>
  <Characters>3509</Characters>
  <Application>Microsoft Office Word</Application>
  <DocSecurity>0</DocSecurity>
  <Lines>29</Lines>
  <Paragraphs>8</Paragraphs>
  <ScaleCrop>false</ScaleCrop>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fish</dc:creator>
  <cp:keywords/>
  <dc:description/>
  <cp:lastModifiedBy>matthew fish</cp:lastModifiedBy>
  <cp:revision>3</cp:revision>
  <dcterms:created xsi:type="dcterms:W3CDTF">2025-10-20T10:23:00Z</dcterms:created>
  <dcterms:modified xsi:type="dcterms:W3CDTF">2025-10-22T20:29:00Z</dcterms:modified>
</cp:coreProperties>
</file>