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5"/>
        <w:gridCol w:w="2265"/>
        <w:gridCol w:w="2266"/>
        <w:gridCol w:w="2266"/>
      </w:tblGrid>
      <w:tr w:rsidR="00F973CD" w:rsidTr="00F973CD">
        <w:tc>
          <w:tcPr>
            <w:tcW w:w="2265" w:type="dxa"/>
          </w:tcPr>
          <w:p w:rsidR="00F973CD" w:rsidRDefault="00F973CD">
            <w:r>
              <w:t>Must have</w:t>
            </w:r>
          </w:p>
        </w:tc>
        <w:tc>
          <w:tcPr>
            <w:tcW w:w="2265" w:type="dxa"/>
          </w:tcPr>
          <w:p w:rsidR="00F973CD" w:rsidRDefault="00F973CD">
            <w:r>
              <w:t>Should have</w:t>
            </w:r>
          </w:p>
        </w:tc>
        <w:tc>
          <w:tcPr>
            <w:tcW w:w="2266" w:type="dxa"/>
          </w:tcPr>
          <w:p w:rsidR="00F973CD" w:rsidRDefault="00F973CD">
            <w:r>
              <w:t>Could have</w:t>
            </w:r>
          </w:p>
        </w:tc>
        <w:tc>
          <w:tcPr>
            <w:tcW w:w="2266" w:type="dxa"/>
          </w:tcPr>
          <w:p w:rsidR="00F973CD" w:rsidRDefault="00F973CD">
            <w:r>
              <w:t>Won’t have</w:t>
            </w:r>
          </w:p>
        </w:tc>
      </w:tr>
      <w:tr w:rsidR="00F973CD" w:rsidTr="00F973CD">
        <w:tc>
          <w:tcPr>
            <w:tcW w:w="2265" w:type="dxa"/>
          </w:tcPr>
          <w:p w:rsidR="00F973CD" w:rsidRDefault="00E00ECA">
            <w:r>
              <w:t>In het design komt de stijl terug die gebruikt is in de applicatie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Voordat de applicatie kan worden gedownload zal er eerst moeten kunnen worden geauthenticeerd. Als er niet is ingelogd kan de applicatie dus niet gedownload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De content van de website moet geschreven worden. De tekst moet duidelijke uitleg geven over wat het spel is. Tevens moet er een stimulans in zitten om dit spel te downloaden.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mysql database, gebruikers tabel met daarin een aantal emails en wachtwoorden vastleggen en die gebruiken voor authenticatie.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registreerformulier maken om een gebruikersnaam en wachtwoord op te slaan in de database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Het email-adres moet uniek zijn en mag dus niet al voorkomen in de database. Is dat wel zo dan krijgt de gebruiker een melding dat het email al bestaat en dus niet gebruikt kan worden. • Het moet ook een geldig email-adres zijn. Dit moet zowel op de front- als backend gevalideerd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
              <w:lastRenderedPageBreak/>
              <w:t>Must Have</w:t>
            </w:r>
          </w:p>
        </w:tc>
        <w:tc>
          <w:tcPr>
            <w:tcW w:w="2265" w:type="dxa"/>
          </w:tcPr>
          <w:p w:rsidR="00E00ECA" w:rsidRDefault="00E00ECA">
            <w:r>
              <w:t xml:space="preserve">Should have </w:t>
            </w:r>
          </w:p>
        </w:tc>
        <w:tc>
          <w:tcPr>
            <w:tcW w:w="2266" w:type="dxa"/>
          </w:tcPr>
          <w:p w:rsidR="00E00ECA" w:rsidRDefault="00E00ECA">
            <w:r>
              <w:t>Could have</w:t>
            </w:r>
          </w:p>
        </w:tc>
        <w:tc>
          <w:tcPr>
            <w:tcW w:w="2266" w:type="dxa"/>
          </w:tcPr>
          <w:p w:rsidR="00E00ECA" w:rsidRDefault="00E00ECA">
            <w:r>
              <w:t>Won’t Have</w:t>
            </w:r>
            <w:bookmarkStart w:id="0" w:name="_GoBack"/>
            <w:bookmarkEnd w:id="0"/>
          </w:p>
        </w:tc>
      </w:tr>
      <w:tr w:rsidR="00F973CD" w:rsidTr="00F973CD">
        <w:tc>
          <w:tcPr>
            <w:tcW w:w="2265" w:type="dxa"/>
          </w:tcPr>
          <w:p w:rsidR="00F973CD" w:rsidRDefault="00E00ECA">
            <w:r>
              <w:t>Verder moeten eventuele spaties voor en achter de input weggehaald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sidP="00E00ECA">
            <w:pPr>
              <w:jc w:val="center"/>
            </w:pPr>
            <w:r>
              <w:t>Bij registreren moet de gebruiker akkoord gaan met algemene voorwaarden.</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r>
              <w:t>Het wachtwoord dient gehashed te worden opgeslagen in de database.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r>
              <w:t>Gebruiker krijgt een confirmatiemail met activatiecode om zijn account te bevestigen, dit moet gebeuren voordat gebruiker kan downloaden.</w:t>
            </w:r>
          </w:p>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bl>
    <w:p w:rsidR="0077359E" w:rsidRDefault="00E00ECA"/>
    <w:sectPr w:rsidR="00773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CD"/>
    <w:rsid w:val="00235EAB"/>
    <w:rsid w:val="00E00ECA"/>
    <w:rsid w:val="00F204E8"/>
    <w:rsid w:val="00F973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443E"/>
  <w15:chartTrackingRefBased/>
  <w15:docId w15:val="{A49CF73E-D611-4B0A-9082-5B8121E9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220</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1</cp:revision>
  <dcterms:created xsi:type="dcterms:W3CDTF">2019-03-18T13:06:00Z</dcterms:created>
  <dcterms:modified xsi:type="dcterms:W3CDTF">2019-03-18T13:26:00Z</dcterms:modified>
</cp:coreProperties>
</file>