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POM Migration — One-Page Checklist</w:t>
      </w:r>
    </w:p>
    <w:p>
      <w:r>
        <w:t xml:space="preserve">Work top to bottom. </w:t>
      </w:r>
      <w:r>
        <w:rPr>
          <w:b/>
        </w:rPr>
        <w:t>Each step ends with tests green → commit → stop &amp; review.</w:t>
      </w:r>
      <w:r>
        <w:t xml:space="preserve"> Never move on red.</w:t>
      </w:r>
    </w:p>
    <w:p>
      <w:pPr>
        <w:ind w:left="432"/>
        <w:shd w:val="clear" w:color="auto" w:fill="F5F5F5"/>
      </w:pPr>
      <w:r>
        <w:rPr>
          <w:b/>
        </w:rPr>
        <w:t>Golden rule:</w:t>
      </w:r>
      <w:r>
        <w:t xml:space="preserve"> POM *holds* the tools ·· Fixture *builds* the tools ·· Test *uses* the tools.</w:t>
      </w:r>
    </w:p>
    <w:p>
      <w:r>
        <w:rPr>
          <w:b/>
        </w:rPr>
        <w:t>What that actually means</w:t>
      </w:r>
      <w:r>
        <w:t xml:space="preserve"> (think of a workshop 🔧):</w:t>
      </w:r>
    </w:p>
    <w:p>
      <w:pPr>
        <w:pStyle w:val="ListBullet"/>
      </w:pPr>
      <w:r>
        <w:rPr>
          <w:b/>
        </w:rPr>
        <w:t>POM = the toolbox.</w:t>
      </w:r>
      <w:r>
        <w:t xml:space="preserve"> Each </w:t>
      </w:r>
      <w:r>
        <w:rPr>
          <w:rFonts w:ascii="Consolas" w:hAnsi="Consolas"/>
          <w:color w:val="8B0030"/>
        </w:rPr>
        <w:t>pages/*.ts</w:t>
      </w:r>
      <w:r>
        <w:t xml:space="preserve"> file *holds* the tools for one page — the </w:t>
      </w:r>
      <w:r>
        <w:rPr>
          <w:b/>
        </w:rPr>
        <w:t>locators</w:t>
      </w:r>
    </w:p>
    <w:p>
      <w:r>
        <w:t xml:space="preserve">(where things are on the page) and the </w:t>
      </w:r>
      <w:r>
        <w:rPr>
          <w:b/>
        </w:rPr>
        <w:t>actions</w:t>
      </w:r>
      <w:r>
        <w:t xml:space="preserve"> (what you can do, like </w:t>
      </w:r>
      <w:r>
        <w:rPr>
          <w:rFonts w:ascii="Consolas" w:hAnsi="Consolas"/>
          <w:color w:val="8B0030"/>
        </w:rPr>
        <w:t>search()</w:t>
      </w:r>
      <w:r>
        <w:t xml:space="preserve"> or</w:t>
      </w:r>
    </w:p>
    <w:p>
      <w:r>
        <w:rPr>
          <w:rFonts w:ascii="Consolas" w:hAnsi="Consolas"/>
          <w:color w:val="8B0030"/>
        </w:rPr>
        <w:t>goto()</w:t>
      </w:r>
      <w:r>
        <w:t>). The toolbox owns the tools, but it doesn't decide when they get used.</w:t>
      </w:r>
    </w:p>
    <w:p>
      <w:pPr>
        <w:pStyle w:val="ListBullet"/>
      </w:pPr>
      <w:r>
        <w:rPr>
          <w:b/>
        </w:rPr>
        <w:t>Fixture = the assistant who hands you the toolbox.</w:t>
      </w:r>
      <w:r>
        <w:t xml:space="preserve"> </w:t>
      </w:r>
      <w:r>
        <w:rPr>
          <w:rFonts w:ascii="Consolas" w:hAnsi="Consolas"/>
          <w:color w:val="8B0030"/>
        </w:rPr>
        <w:t>fixtures/test-options.ts</w:t>
      </w:r>
      <w:r>
        <w:t xml:space="preserve"> *builds* the</w:t>
      </w:r>
    </w:p>
    <w:p>
      <w:r>
        <w:t xml:space="preserve">page objects for you so the test never has to write </w:t>
      </w:r>
      <w:r>
        <w:rPr>
          <w:rFonts w:ascii="Consolas" w:hAnsi="Consolas"/>
          <w:color w:val="8B0030"/>
        </w:rPr>
        <w:t>new NbsHomePage(page)</w:t>
      </w:r>
      <w:r>
        <w:t xml:space="preserve"> itself. You just ask</w:t>
      </w:r>
    </w:p>
    <w:p>
      <w:r>
        <w:t xml:space="preserve">for </w:t>
      </w:r>
      <w:r>
        <w:rPr>
          <w:rFonts w:ascii="Consolas" w:hAnsi="Consolas"/>
          <w:color w:val="8B0030"/>
        </w:rPr>
        <w:t>nbsHomePage</w:t>
      </w:r>
      <w:r>
        <w:t xml:space="preserve"> and it's ready to go.</w:t>
      </w:r>
    </w:p>
    <w:p>
      <w:pPr>
        <w:pStyle w:val="ListBullet"/>
      </w:pPr>
      <w:r>
        <w:rPr>
          <w:b/>
        </w:rPr>
        <w:t>Test = the job you're doing.</w:t>
      </w:r>
      <w:r>
        <w:t xml:space="preserve"> </w:t>
      </w:r>
      <w:r>
        <w:rPr>
          <w:rFonts w:ascii="Consolas" w:hAnsi="Consolas"/>
          <w:color w:val="8B0030"/>
        </w:rPr>
        <w:t>first-test.spec.ts</w:t>
      </w:r>
      <w:r>
        <w:t xml:space="preserve"> *uses* the tools — it calls the actions</w:t>
      </w:r>
    </w:p>
    <w:p>
      <w:r>
        <w:t>(</w:t>
      </w:r>
      <w:r>
        <w:rPr>
          <w:rFonts w:ascii="Consolas" w:hAnsi="Consolas"/>
          <w:color w:val="8B0030"/>
        </w:rPr>
        <w:t>nbsHomePage.search('dyson')</w:t>
      </w:r>
      <w:r>
        <w:t>) and checks the results (</w:t>
      </w:r>
      <w:r>
        <w:rPr>
          <w:rFonts w:ascii="Consolas" w:hAnsi="Consolas"/>
          <w:color w:val="8B0030"/>
        </w:rPr>
        <w:t>expect(...)</w:t>
      </w:r>
      <w:r>
        <w:t>). It reads almost like plain</w:t>
      </w:r>
    </w:p>
    <w:p>
      <w:r>
        <w:t>English because all the messy detail lives in the toolbox.</w:t>
      </w:r>
    </w:p>
    <w:p>
      <w:r>
        <w:t xml:space="preserve">Why split it three ways? So each piece has </w:t>
      </w:r>
      <w:r>
        <w:rPr>
          <w:b/>
        </w:rPr>
        <w:t>one job</w:t>
      </w:r>
      <w:r>
        <w:t>. If the website changes a button, you fix it</w:t>
      </w:r>
    </w:p>
    <w:p>
      <w:r>
        <w:rPr>
          <w:b/>
        </w:rPr>
        <w:t>once</w:t>
      </w:r>
      <w:r>
        <w:t xml:space="preserve"> in the toolbox (POM) and every test keeps working. The test itself barely changes.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☐ Step 0 — Baseline (already done ✅)</w:t>
      </w:r>
    </w:p>
    <w:p>
      <w:pPr>
        <w:pStyle w:val="ListBullet"/>
      </w:pPr>
      <w:r>
        <w:t xml:space="preserve">On branch </w:t>
      </w:r>
      <w:r>
        <w:rPr>
          <w:rFonts w:ascii="Consolas" w:hAnsi="Consolas"/>
          <w:color w:val="8B0030"/>
        </w:rPr>
        <w:t>practice/pom-migration</w:t>
      </w:r>
      <w:r>
        <w:t xml:space="preserve">, flat </w:t>
      </w:r>
      <w:r>
        <w:rPr>
          <w:rFonts w:ascii="Consolas" w:hAnsi="Consolas"/>
          <w:color w:val="8B0030"/>
        </w:rPr>
        <w:t>first-test.spec.ts</w:t>
      </w:r>
      <w:r>
        <w:t xml:space="preserve">, no </w:t>
      </w:r>
      <w:r>
        <w:rPr>
          <w:rFonts w:ascii="Consolas" w:hAnsi="Consolas"/>
          <w:color w:val="8B0030"/>
        </w:rPr>
        <w:t>pages/</w:t>
      </w:r>
      <w:r>
        <w:t xml:space="preserve"> or </w:t>
      </w:r>
      <w:r>
        <w:rPr>
          <w:rFonts w:ascii="Consolas" w:hAnsi="Consolas"/>
          <w:color w:val="8B0030"/>
        </w:rPr>
        <w:t>fixtures/</w:t>
      </w:r>
      <w:r>
        <w:t>.</w:t>
      </w:r>
    </w:p>
    <w:p>
      <w:pPr>
        <w:pStyle w:val="ListBullet"/>
      </w:pPr>
      <w:r>
        <w:rPr>
          <w:rFonts w:ascii="Consolas" w:hAnsi="Consolas"/>
          <w:color w:val="8B0030"/>
        </w:rPr>
        <w:t>npx playwright test first-test.spec.ts --project=chromium -g "assert|Ensure"</w:t>
      </w:r>
      <w:r>
        <w:t xml:space="preserve"> → </w:t>
      </w:r>
      <w:r>
        <w:rPr>
          <w:b/>
        </w:rPr>
        <w:t>green</w:t>
      </w:r>
      <w:r>
        <w:t>.</w:t>
      </w:r>
    </w:p>
    <w:p>
      <w:pPr>
        <w:pStyle w:val="Heading3"/>
      </w:pPr>
      <w:r>
        <w:t>☐ Step 1 — Empty POM shells</w:t>
      </w:r>
    </w:p>
    <w:p>
      <w:pPr>
        <w:pStyle w:val="ListBullet"/>
      </w:pPr>
      <w:r>
        <w:t xml:space="preserve">Create </w:t>
      </w:r>
      <w:r>
        <w:rPr>
          <w:rFonts w:ascii="Consolas" w:hAnsi="Consolas"/>
          <w:color w:val="8B0030"/>
        </w:rPr>
        <w:t>pages/NbsHomePage.ts</w:t>
      </w:r>
      <w:r>
        <w:t xml:space="preserve"> and </w:t>
      </w:r>
      <w:r>
        <w:rPr>
          <w:rFonts w:ascii="Consolas" w:hAnsi="Consolas"/>
          <w:color w:val="8B0030"/>
        </w:rPr>
        <w:t>pages/DysonManufacturerPage.ts</w:t>
      </w:r>
      <w:r>
        <w:t>.</w:t>
      </w:r>
    </w:p>
    <w:p>
      <w:pPr>
        <w:pStyle w:val="ListBullet"/>
      </w:pPr>
      <w:r>
        <w:t xml:space="preserve">Each has: </w:t>
      </w:r>
      <w:r>
        <w:rPr>
          <w:rFonts w:ascii="Consolas" w:hAnsi="Consolas"/>
          <w:color w:val="8B0030"/>
        </w:rPr>
        <w:t>readonly page</w:t>
      </w:r>
      <w:r>
        <w:t xml:space="preserve">, a </w:t>
      </w:r>
      <w:r>
        <w:rPr>
          <w:rFonts w:ascii="Consolas" w:hAnsi="Consolas"/>
          <w:color w:val="8B0030"/>
        </w:rPr>
        <w:t>// LOCATORS</w:t>
      </w:r>
      <w:r>
        <w:t xml:space="preserve"> header, a </w:t>
      </w:r>
      <w:r>
        <w:rPr>
          <w:rFonts w:ascii="Consolas" w:hAnsi="Consolas"/>
          <w:color w:val="8B0030"/>
        </w:rPr>
        <w:t>// ACTIONS</w:t>
      </w:r>
      <w:r>
        <w:t xml:space="preserve"> header, empty </w:t>
      </w:r>
      <w:r>
        <w:rPr>
          <w:rFonts w:ascii="Consolas" w:hAnsi="Consolas"/>
          <w:color w:val="8B0030"/>
        </w:rPr>
        <w:t>constructor(page)</w:t>
      </w:r>
      <w:r>
        <w:t>.</w:t>
      </w:r>
    </w:p>
    <w:p>
      <w:pPr>
        <w:pStyle w:val="ListBullet"/>
      </w:pPr>
      <w:r>
        <w:t xml:space="preserve">Nothing uses them yet. </w:t>
      </w:r>
      <w:r>
        <w:rPr>
          <w:b/>
        </w:rPr>
        <w:t>Review → commit.</w:t>
      </w:r>
    </w:p>
    <w:p>
      <w:pPr>
        <w:pStyle w:val="Heading3"/>
      </w:pPr>
      <w:r>
        <w:t>☐ Step 2 — Fixture scaffolding</w:t>
      </w:r>
    </w:p>
    <w:p>
      <w:pPr>
        <w:pStyle w:val="ListBullet"/>
      </w:pPr>
      <w:r>
        <w:t xml:space="preserve">Create </w:t>
      </w:r>
      <w:r>
        <w:rPr>
          <w:rFonts w:ascii="Consolas" w:hAnsi="Consolas"/>
          <w:color w:val="8B0030"/>
        </w:rPr>
        <w:t>fixtures/test-options.ts</w:t>
      </w:r>
      <w:r>
        <w:t xml:space="preserve">: extend </w:t>
      </w:r>
      <w:r>
        <w:rPr>
          <w:rFonts w:ascii="Consolas" w:hAnsi="Consolas"/>
          <w:color w:val="8B0030"/>
        </w:rPr>
        <w:t>base</w:t>
      </w:r>
      <w:r>
        <w:t xml:space="preserve"> test, register </w:t>
      </w:r>
      <w:r>
        <w:rPr>
          <w:rFonts w:ascii="Consolas" w:hAnsi="Consolas"/>
          <w:color w:val="8B0030"/>
        </w:rPr>
        <w:t>nbsHomePage</w:t>
      </w:r>
      <w:r>
        <w:t xml:space="preserve"> + </w:t>
      </w:r>
      <w:r>
        <w:rPr>
          <w:rFonts w:ascii="Consolas" w:hAnsi="Consolas"/>
          <w:color w:val="8B0030"/>
        </w:rPr>
        <w:t>dysonManufacturerPage</w:t>
      </w:r>
      <w:r>
        <w:t xml:space="preserve">, re-export </w:t>
      </w:r>
      <w:r>
        <w:rPr>
          <w:rFonts w:ascii="Consolas" w:hAnsi="Consolas"/>
          <w:color w:val="8B0030"/>
        </w:rPr>
        <w:t>expect</w:t>
      </w:r>
      <w:r>
        <w:t>.</w:t>
      </w:r>
    </w:p>
    <w:p>
      <w:pPr>
        <w:pStyle w:val="ListBullet"/>
      </w:pPr>
      <w:r>
        <w:t xml:space="preserve">Still unused. </w:t>
      </w:r>
      <w:r>
        <w:rPr>
          <w:b/>
        </w:rPr>
        <w:t>Review → commit.</w:t>
      </w:r>
    </w:p>
    <w:p>
      <w:pPr>
        <w:pStyle w:val="Heading3"/>
      </w:pPr>
      <w:r>
        <w:t>☐ Step 3 — Switch the test's import</w:t>
      </w:r>
    </w:p>
    <w:p>
      <w:pPr>
        <w:pStyle w:val="ListBullet"/>
      </w:pPr>
      <w:r>
        <w:t xml:space="preserve">Change </w:t>
      </w:r>
      <w:r>
        <w:rPr>
          <w:rFonts w:ascii="Consolas" w:hAnsi="Consolas"/>
          <w:color w:val="8B0030"/>
        </w:rPr>
        <w:t>first-test.spec.ts</w:t>
      </w:r>
      <w:r>
        <w:t xml:space="preserve"> import from </w:t>
      </w:r>
      <w:r>
        <w:rPr>
          <w:rFonts w:ascii="Consolas" w:hAnsi="Consolas"/>
          <w:color w:val="8B0030"/>
        </w:rPr>
        <w:t>@playwright/test</w:t>
      </w:r>
      <w:r>
        <w:t xml:space="preserve"> → </w:t>
      </w:r>
      <w:r>
        <w:rPr>
          <w:rFonts w:ascii="Consolas" w:hAnsi="Consolas"/>
          <w:color w:val="8B0030"/>
        </w:rPr>
        <w:t>../fixtures/test-options</w:t>
      </w:r>
      <w:r>
        <w:t>.</w:t>
      </w:r>
    </w:p>
    <w:p>
      <w:pPr>
        <w:pStyle w:val="ListBullet"/>
      </w:pPr>
      <w:r>
        <w:t xml:space="preserve">One line. Run tests → still green. </w:t>
      </w:r>
      <w:r>
        <w:rPr>
          <w:b/>
        </w:rPr>
        <w:t>Review → commit.</w:t>
      </w:r>
    </w:p>
    <w:p>
      <w:pPr>
        <w:pStyle w:val="Heading3"/>
      </w:pPr>
      <w:r>
        <w:t xml:space="preserve">☐ Step 4 — Migrate </w:t>
      </w:r>
      <w:r>
        <w:rPr>
          <w:rFonts w:ascii="Consolas" w:hAnsi="Consolas"/>
          <w:color w:val="8B0030"/>
        </w:rPr>
        <w:t>NbsHomePage</w:t>
      </w:r>
      <w:r>
        <w:t xml:space="preserve"> (the </w:t>
      </w:r>
      <w:r>
        <w:rPr>
          <w:rFonts w:ascii="Consolas" w:hAnsi="Consolas"/>
          <w:color w:val="8B0030"/>
        </w:rPr>
        <w:t>beforeEach</w:t>
      </w:r>
      <w:r>
        <w:t>)</w:t>
      </w:r>
    </w:p>
    <w:p>
      <w:pPr>
        <w:pStyle w:val="ListBullet"/>
      </w:pPr>
      <w:r>
        <w:rPr>
          <w:b/>
        </w:rPr>
        <w:t>4a.</w:t>
      </w:r>
      <w:r>
        <w:t xml:space="preserve"> Add the 4 </w:t>
      </w:r>
      <w:r>
        <w:rPr>
          <w:b/>
        </w:rPr>
        <w:t>locators</w:t>
      </w:r>
      <w:r>
        <w:t xml:space="preserve"> to the constructor. Leave </w:t>
      </w:r>
      <w:r>
        <w:rPr>
          <w:rFonts w:ascii="Consolas" w:hAnsi="Consolas"/>
          <w:color w:val="8B0030"/>
        </w:rPr>
        <w:t>beforeEach</w:t>
      </w:r>
      <w:r>
        <w:t xml:space="preserve"> as-is (temporary duplication). → green.</w:t>
      </w:r>
    </w:p>
    <w:p>
      <w:pPr>
        <w:pStyle w:val="ListBullet"/>
      </w:pPr>
      <w:r>
        <w:rPr>
          <w:b/>
        </w:rPr>
        <w:t>4b.</w:t>
      </w:r>
      <w:r>
        <w:t xml:space="preserve"> Add </w:t>
      </w:r>
      <w:r>
        <w:rPr>
          <w:b/>
        </w:rPr>
        <w:t>action methods</w:t>
      </w:r>
      <w:r>
        <w:t xml:space="preserve">: </w:t>
      </w:r>
      <w:r>
        <w:rPr>
          <w:rFonts w:ascii="Consolas" w:hAnsi="Consolas"/>
          <w:color w:val="8B0030"/>
        </w:rPr>
        <w:t>goto</w:t>
      </w:r>
      <w:r>
        <w:t xml:space="preserve">, </w:t>
      </w:r>
      <w:r>
        <w:rPr>
          <w:rFonts w:ascii="Consolas" w:hAnsi="Consolas"/>
          <w:color w:val="8B0030"/>
        </w:rPr>
        <w:t>closePopup</w:t>
      </w:r>
      <w:r>
        <w:t xml:space="preserve">, </w:t>
      </w:r>
      <w:r>
        <w:rPr>
          <w:rFonts w:ascii="Consolas" w:hAnsi="Consolas"/>
          <w:color w:val="8B0030"/>
        </w:rPr>
        <w:t>search</w:t>
      </w:r>
      <w:r>
        <w:t xml:space="preserve">, </w:t>
      </w:r>
      <w:r>
        <w:rPr>
          <w:rFonts w:ascii="Consolas" w:hAnsi="Consolas"/>
          <w:color w:val="8B0030"/>
        </w:rPr>
        <w:t>openManufacturersTab</w:t>
      </w:r>
      <w:r>
        <w:t xml:space="preserve">, </w:t>
      </w:r>
      <w:r>
        <w:rPr>
          <w:rFonts w:ascii="Consolas" w:hAnsi="Consolas"/>
          <w:color w:val="8B0030"/>
        </w:rPr>
        <w:t>openDysonManufacturer</w:t>
      </w:r>
      <w:r>
        <w:t>. → green.</w:t>
      </w:r>
    </w:p>
    <w:p>
      <w:pPr>
        <w:pStyle w:val="ListBullet"/>
      </w:pPr>
      <w:r>
        <w:rPr>
          <w:b/>
        </w:rPr>
        <w:t>4c.</w:t>
      </w:r>
      <w:r>
        <w:t xml:space="preserve"> Rewrite </w:t>
      </w:r>
      <w:r>
        <w:rPr>
          <w:rFonts w:ascii="Consolas" w:hAnsi="Consolas"/>
          <w:color w:val="8B0030"/>
        </w:rPr>
        <w:t>beforeEach</w:t>
      </w:r>
      <w:r>
        <w:t xml:space="preserve"> to call those methods; </w:t>
      </w:r>
      <w:r>
        <w:rPr>
          <w:b/>
        </w:rPr>
        <w:t>delete</w:t>
      </w:r>
      <w:r>
        <w:t xml:space="preserve"> the inline locators/steps. → green. </w:t>
      </w:r>
      <w:r>
        <w:rPr>
          <w:b/>
        </w:rPr>
        <w:t>Review → commit.</w:t>
      </w:r>
    </w:p>
    <w:p>
      <w:pPr>
        <w:pStyle w:val="Heading3"/>
      </w:pPr>
      <w:r>
        <w:t xml:space="preserve">☐ Step 5 — Migrate </w:t>
      </w:r>
      <w:r>
        <w:rPr>
          <w:rFonts w:ascii="Consolas" w:hAnsi="Consolas"/>
          <w:color w:val="8B0030"/>
        </w:rPr>
        <w:t>DysonManufacturerPage</w:t>
      </w:r>
      <w:r>
        <w:t xml:space="preserve"> (the assertions)</w:t>
      </w:r>
    </w:p>
    <w:p>
      <w:pPr>
        <w:pStyle w:val="ListBullet"/>
      </w:pPr>
      <w:r>
        <w:rPr>
          <w:b/>
        </w:rPr>
        <w:t>5a.</w:t>
      </w:r>
      <w:r>
        <w:t xml:space="preserve"> Add </w:t>
      </w:r>
      <w:r>
        <w:rPr>
          <w:rFonts w:ascii="Consolas" w:hAnsi="Consolas"/>
          <w:color w:val="8B0030"/>
        </w:rPr>
        <w:t>heading</w:t>
      </w:r>
      <w:r>
        <w:t xml:space="preserve">, </w:t>
      </w:r>
      <w:r>
        <w:rPr>
          <w:rFonts w:ascii="Consolas" w:hAnsi="Consolas"/>
          <w:color w:val="8B0030"/>
        </w:rPr>
        <w:t>sourceLogo</w:t>
      </w:r>
      <w:r>
        <w:t xml:space="preserve">, </w:t>
      </w:r>
      <w:r>
        <w:rPr>
          <w:rFonts w:ascii="Consolas" w:hAnsi="Consolas"/>
          <w:color w:val="8B0030"/>
        </w:rPr>
        <w:t>manufacturerButton</w:t>
      </w:r>
      <w:r>
        <w:t xml:space="preserve"> locators + </w:t>
      </w:r>
      <w:r>
        <w:rPr>
          <w:rFonts w:ascii="Consolas" w:hAnsi="Consolas"/>
          <w:color w:val="8B0030"/>
        </w:rPr>
        <w:t>expectedUrl</w:t>
      </w:r>
      <w:r>
        <w:t>.</w:t>
      </w:r>
    </w:p>
    <w:p>
      <w:pPr>
        <w:pStyle w:val="ListBullet"/>
      </w:pPr>
      <w:r>
        <w:rPr>
          <w:b/>
        </w:rPr>
        <w:t>5b.</w:t>
      </w:r>
      <w:r>
        <w:t xml:space="preserve"> Point the 3 tests at </w:t>
      </w:r>
      <w:r>
        <w:rPr>
          <w:rFonts w:ascii="Consolas" w:hAnsi="Consolas"/>
          <w:color w:val="8B0030"/>
        </w:rPr>
        <w:t>dysonManufacturerPage.heading</w:t>
      </w:r>
      <w:r>
        <w:t xml:space="preserve"> etc.; drop their inline locators. → green. </w:t>
      </w:r>
      <w:r>
        <w:rPr>
          <w:b/>
        </w:rPr>
        <w:t>Review → commit.</w:t>
      </w:r>
      <w:r>
        <w:t xml:space="preserve"> 🎉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Where does each bit of code 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Old flat code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New home</w:t>
            </w:r>
          </w:p>
        </w:tc>
      </w:tr>
      <w:tr>
        <w:tc>
          <w:tcPr>
            <w:tcW w:type="dxa" w:w="4320"/>
          </w:tcPr>
          <w:p>
            <w:r/>
            <w:r>
              <w:t xml:space="preserve">🟦 </w:t>
            </w:r>
            <w:r>
              <w:rPr>
                <w:rFonts w:ascii="Consolas" w:hAnsi="Consolas"/>
                <w:color w:val="8B0030"/>
              </w:rPr>
              <w:t>page.getByRole(...)</w:t>
            </w:r>
            <w:r>
              <w:t xml:space="preserve"> locators</w:t>
            </w:r>
          </w:p>
        </w:tc>
        <w:tc>
          <w:tcPr>
            <w:tcW w:type="dxa" w:w="4320"/>
          </w:tcPr>
          <w:p>
            <w:r/>
            <w:r>
              <w:t xml:space="preserve">POM </w:t>
            </w:r>
            <w:r>
              <w:rPr>
                <w:b/>
              </w:rPr>
              <w:t>constructor</w:t>
            </w:r>
            <w:r>
              <w:t xml:space="preserve"> (LOCATORS)</w:t>
            </w:r>
          </w:p>
        </w:tc>
      </w:tr>
      <w:tr>
        <w:tc>
          <w:tcPr>
            <w:tcW w:type="dxa" w:w="4320"/>
          </w:tcPr>
          <w:p>
            <w:r/>
            <w:r>
              <w:t xml:space="preserve">🟩 </w:t>
            </w:r>
            <w:r>
              <w:rPr>
                <w:rFonts w:ascii="Consolas" w:hAnsi="Consolas"/>
                <w:color w:val="8B0030"/>
              </w:rPr>
              <w:t>click</w:t>
            </w:r>
            <w:r>
              <w:t xml:space="preserve"> / </w:t>
            </w:r>
            <w:r>
              <w:rPr>
                <w:rFonts w:ascii="Consolas" w:hAnsi="Consolas"/>
                <w:color w:val="8B0030"/>
              </w:rPr>
              <w:t>fill</w:t>
            </w:r>
            <w:r>
              <w:t xml:space="preserve"> / </w:t>
            </w:r>
            <w:r>
              <w:rPr>
                <w:rFonts w:ascii="Consolas" w:hAnsi="Consolas"/>
                <w:color w:val="8B0030"/>
              </w:rPr>
              <w:t>goto</w:t>
            </w:r>
            <w:r>
              <w:t xml:space="preserve"> steps</w:t>
            </w:r>
          </w:p>
        </w:tc>
        <w:tc>
          <w:tcPr>
            <w:tcW w:type="dxa" w:w="4320"/>
          </w:tcPr>
          <w:p>
            <w:r/>
            <w:r>
              <w:t xml:space="preserve">POM </w:t>
            </w:r>
            <w:r>
              <w:rPr>
                <w:b/>
              </w:rPr>
              <w:t>action methods</w:t>
            </w:r>
            <w:r>
              <w:t xml:space="preserve"> (ACTIONS)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new SomePage(page)</w:t>
            </w:r>
            <w:r>
              <w:t xml:space="preserve"> boilerplate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b/>
              </w:rPr>
              <w:t>fixture</w:t>
            </w:r>
            <w:r>
              <w:t xml:space="preserve"> (built for you)</w:t>
            </w:r>
          </w:p>
        </w:tc>
      </w:tr>
      <w:tr>
        <w:tc>
          <w:tcPr>
            <w:tcW w:type="dxa" w:w="4320"/>
          </w:tcPr>
          <w:p>
            <w:r/>
            <w:r>
              <w:t xml:space="preserve">🟧 </w:t>
            </w:r>
            <w:r>
              <w:rPr>
                <w:rFonts w:ascii="Consolas" w:hAnsi="Consolas"/>
                <w:color w:val="8B0030"/>
              </w:rPr>
              <w:t>beforeEach</w:t>
            </w:r>
            <w:r>
              <w:t xml:space="preserve"> + </w:t>
            </w:r>
            <w:r>
              <w:rPr>
                <w:rFonts w:ascii="Consolas" w:hAnsi="Consolas"/>
                <w:color w:val="8B0030"/>
              </w:rPr>
              <w:t>expect(...)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stays in the test</w:t>
            </w:r>
            <w:r>
              <w:t>, now calls the POM</w:t>
            </w:r>
          </w:p>
        </w:tc>
      </w:tr>
    </w:tbl>
    <w:p/>
    <w:p>
      <w:pPr>
        <w:pStyle w:val="Heading3"/>
      </w:pPr>
      <w:r>
        <w:t>Run tests after every step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npx playwright test first-test.spec.ts --project=chromium -g "assert|Ensure"</w:t>
            </w:r>
          </w:p>
        </w:tc>
      </w:tr>
    </w:tbl>
    <w:p/>
    <w:p>
      <w:pPr>
        <w:pStyle w:val="Heading3"/>
      </w:pPr>
      <w:r>
        <w:t>If a step goes red</w:t>
      </w:r>
    </w:p>
    <w:p>
      <w:r>
        <w:t>Undo just that step — the last green commit is your safety net: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git restore .        # discard uncommitted changes, back to last green</w:t>
            </w:r>
          </w:p>
        </w:tc>
      </w:tr>
    </w:tbl>
    <w:p/>
    <w:p>
      <w:pPr>
        <w:ind w:left="432"/>
        <w:shd w:val="clear" w:color="auto" w:fill="F5F5F5"/>
      </w:pPr>
      <w:r>
        <w:t xml:space="preserve">Full walkthrough: </w:t>
      </w:r>
      <w:r>
        <w:rPr>
          <w:rFonts w:ascii="Consolas" w:hAnsi="Consolas"/>
          <w:color w:val="8B0030"/>
        </w:rPr>
        <w:t>02-page-object-model.md</w:t>
      </w:r>
      <w:r>
        <w:t xml:space="preserve"> · Visual map: </w:t>
      </w:r>
      <w:r>
        <w:rPr>
          <w:rFonts w:ascii="Consolas" w:hAnsi="Consolas"/>
          <w:color w:val="8B0030"/>
        </w:rPr>
        <w:t>03-flat-vs-pom-visual.md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