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B4F8B" w14:textId="7C651A62" w:rsidR="000F5C6E" w:rsidRDefault="001519C6" w:rsidP="001519C6">
      <w:pPr>
        <w:jc w:val="both"/>
        <w:rPr>
          <w:rFonts w:eastAsia="Calibri" w:cs="Arial"/>
          <w:i/>
          <w:sz w:val="22"/>
          <w:szCs w:val="28"/>
        </w:rPr>
      </w:pPr>
      <w:r w:rsidRPr="00F824B8">
        <w:rPr>
          <w:rFonts w:cs="Arial"/>
          <w:i/>
          <w:noProof/>
          <w:sz w:val="44"/>
          <w:lang w:eastAsia="en-GB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713673EC" wp14:editId="03986DB2">
                <wp:simplePos x="0" y="0"/>
                <wp:positionH relativeFrom="page">
                  <wp:posOffset>3486150</wp:posOffset>
                </wp:positionH>
                <wp:positionV relativeFrom="page">
                  <wp:posOffset>142874</wp:posOffset>
                </wp:positionV>
                <wp:extent cx="3350521" cy="1343025"/>
                <wp:effectExtent l="0" t="0" r="2540" b="0"/>
                <wp:wrapThrough wrapText="bothSides">
                  <wp:wrapPolygon edited="0">
                    <wp:start x="0" y="0"/>
                    <wp:lineTo x="0" y="21140"/>
                    <wp:lineTo x="21494" y="21140"/>
                    <wp:lineTo x="21494" y="0"/>
                    <wp:lineTo x="0" y="0"/>
                  </wp:wrapPolygon>
                </wp:wrapThrough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350521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268FF1" w14:textId="01A5B257" w:rsidR="00880F35" w:rsidRDefault="00DA1C9A" w:rsidP="001519C6">
                            <w:pPr>
                              <w:pStyle w:val="Body"/>
                              <w:jc w:val="right"/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 xml:space="preserve">Activities Committee Semester </w:t>
                            </w:r>
                            <w:r w:rsidR="00F26B1A"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 xml:space="preserve"> Grant</w:t>
                            </w:r>
                            <w:r w:rsidR="00F26B1A">
                              <w:rPr>
                                <w:rFonts w:cs="Arial"/>
                                <w:b/>
                                <w:bCs/>
                                <w:color w:val="FEFFFF"/>
                                <w:sz w:val="44"/>
                                <w:szCs w:val="44"/>
                                <w:lang w:val="en-US"/>
                              </w:rPr>
                              <w:t xml:space="preserve"> Subgroup</w:t>
                            </w:r>
                          </w:p>
                          <w:p w14:paraId="41D26052" w14:textId="52150793" w:rsidR="00880F35" w:rsidRPr="00DA1C9A" w:rsidRDefault="00F26B1A" w:rsidP="00DA1C9A">
                            <w:pPr>
                              <w:pStyle w:val="Body"/>
                              <w:jc w:val="center"/>
                              <w:rPr>
                                <w:rFonts w:eastAsia="Arial Unicode MS" w:cs="Arial"/>
                                <w:color w:val="auto"/>
                                <w:sz w:val="14"/>
                                <w:szCs w:val="20"/>
                              </w:rPr>
                            </w:pPr>
                            <w:r>
                              <w:rPr>
                                <w:rFonts w:cs="Arial"/>
                                <w:color w:val="FEFFFF"/>
                                <w:sz w:val="32"/>
                                <w:szCs w:val="44"/>
                                <w:lang w:val="en-US"/>
                              </w:rPr>
                              <w:t>Tuesday 17</w:t>
                            </w:r>
                            <w:r w:rsidRPr="00F26B1A">
                              <w:rPr>
                                <w:rFonts w:cs="Arial"/>
                                <w:color w:val="FEFFFF"/>
                                <w:sz w:val="32"/>
                                <w:szCs w:val="44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cs="Arial"/>
                                <w:color w:val="FEFFFF"/>
                                <w:sz w:val="32"/>
                                <w:szCs w:val="44"/>
                                <w:lang w:val="en-US"/>
                              </w:rPr>
                              <w:t xml:space="preserve"> December</w:t>
                            </w:r>
                          </w:p>
                        </w:txbxContent>
                      </wps:txbx>
                      <wps:bodyPr rot="0" vert="horz" wrap="square" lIns="50800" tIns="50800" rIns="50800" bIns="5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3673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4.5pt;margin-top:11.25pt;width:263.8pt;height:105.75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ADh3QIAAGcGAAAOAAAAZHJzL2Uyb0RvYy54bWysVclu2zAQvRfoPxC8K6IW27IQOfCmokC6&#10;AEk/gJYoi6hEqiS9pEX/vUPKdpSkBYqmOhAccjjz3my6vjm2DdozpbkUGQ6uCEZMFLLkYpvhL/e5&#10;l2CkDRUlbaRgGX5gGt/M3r65PnQpC2Utm5IpBEaETg9dhmtjutT3dVGzluor2TEBl5VULTUgqq1f&#10;KnoA623jh4SM/YNUZadkwbSG01V/iWfOflWxwnyqKs0MajIM2IxblVs3dvVn1zTdKtrVvDjBoP+A&#10;oqVcgNOLqRU1FO0Uf2Gq5YWSWlbmqpCtL6uKF8xxADYBecbmrqYdc1wgOLq7hEn/P7PFx/1nhXiZ&#10;4RAjQVtI0T07GrSQRxTa6Bw6nYLSXQdq5gjHkGXHVHe3sviqQcUf6PQPtNXeHD7IEuzRnZHuxbFS&#10;rY0RsEZgBtLxcEmB9VnAYRSNyCgMMCrgLojiiIQjC8On6fl5p7R5x2SL7CbDCnLszNP9rTa96lnF&#10;ehMy500D5zRtxJMDsNmfMFco/WuaAhTYWk0LyiXxx5RM18k6ib04HK+9mKxW3jxfxt44DyajVbRa&#10;LlfBT4siiNOalyUT1um5oIL47xJ2Ku2+FC4lpWXDS2vOQtJqu1k2Cu0pFHTuvlN4Bmr+UxguesDl&#10;GaUgjMkinHr5OJl4cR6PvOmEJB4JpovpmMTTeJU/pXTLBXs9JXSAxIYTQvoq+iM54r6X5GjacgMz&#10;o+FthuOLEk1rRsu1KF2mDeVNvx/EwuL/fSzm+YhM4ijxJpNR5MXRmniLJF9682UwHk/Wi+Vi/Sy9&#10;a1cy+vXhcEkZ1N8A78nHI2Qo2HNxup6zbdY3nDlujkDcNuJGlg/QfUpCb0CLwWyGTS3Vd4wOMOcy&#10;rL/tqGIYNe8FDJIRSSAVyAwFNRQ2Q4GKAkxluDAKo15Ymn6c7jrFtzX46seDkHPo+4q7jnzEBWSs&#10;ANPM0TpNXjsuh7LTevw/zH4BAAD//wMAUEsDBBQABgAIAAAAIQArWPMD4AAAAAsBAAAPAAAAZHJz&#10;L2Rvd25yZXYueG1sTI9BTsMwEEX3SNzBGiR21CZpAoQ4FSqgropo4ABuPI0jYjuKnTbcnumqLGfm&#10;68375Wq2PTviGDrvJNwvBDB0jdedayV8f73fPQILUTmteu9Qwi8GWFXXV6UqtD+5HR7r2DKCuFAo&#10;CSbGoeA8NAatCgs/oKPbwY9WRRrHlutRnQhue54IkXOrOkcfjBpwbbD5qSdLFPM5f6RpfthuXjfr&#10;6a0etrssk/L2Zn55BhZxjpcwnPVJHSpy2vvJ6cB6CdnyibpECUmSATsHxEOeA9vTJl0K4FXJ/3eo&#10;/gAAAP//AwBQSwECLQAUAAYACAAAACEAtoM4kv4AAADhAQAAEwAAAAAAAAAAAAAAAAAAAAAAW0Nv&#10;bnRlbnRfVHlwZXNdLnhtbFBLAQItABQABgAIAAAAIQA4/SH/1gAAAJQBAAALAAAAAAAAAAAAAAAA&#10;AC8BAABfcmVscy8ucmVsc1BLAQItABQABgAIAAAAIQBRIADh3QIAAGcGAAAOAAAAAAAAAAAAAAAA&#10;AC4CAABkcnMvZTJvRG9jLnhtbFBLAQItABQABgAIAAAAIQArWPMD4AAAAAsBAAAPAAAAAAAAAAAA&#10;AAAAADcFAABkcnMvZG93bnJldi54bWxQSwUGAAAAAAQABADzAAAARAYAAAAA&#10;" filled="f" stroked="f" strokeweight="1pt">
                <v:stroke miterlimit="4"/>
                <v:path arrowok="t"/>
                <v:textbox inset="4pt,4pt,4pt,4pt">
                  <w:txbxContent>
                    <w:p w14:paraId="34268FF1" w14:textId="01A5B257" w:rsidR="00880F35" w:rsidRDefault="00DA1C9A" w:rsidP="001519C6">
                      <w:pPr>
                        <w:pStyle w:val="Body"/>
                        <w:jc w:val="right"/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 xml:space="preserve">Activities Committee Semester </w:t>
                      </w:r>
                      <w:r w:rsidR="00F26B1A"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>2</w:t>
                      </w:r>
                      <w:r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 xml:space="preserve"> Grant</w:t>
                      </w:r>
                      <w:r w:rsidR="00F26B1A">
                        <w:rPr>
                          <w:rFonts w:cs="Arial"/>
                          <w:b/>
                          <w:bCs/>
                          <w:color w:val="FEFFFF"/>
                          <w:sz w:val="44"/>
                          <w:szCs w:val="44"/>
                          <w:lang w:val="en-US"/>
                        </w:rPr>
                        <w:t xml:space="preserve"> Subgroup</w:t>
                      </w:r>
                    </w:p>
                    <w:p w14:paraId="41D26052" w14:textId="52150793" w:rsidR="00880F35" w:rsidRPr="00DA1C9A" w:rsidRDefault="00F26B1A" w:rsidP="00DA1C9A">
                      <w:pPr>
                        <w:pStyle w:val="Body"/>
                        <w:jc w:val="center"/>
                        <w:rPr>
                          <w:rFonts w:eastAsia="Arial Unicode MS" w:cs="Arial"/>
                          <w:color w:val="auto"/>
                          <w:sz w:val="14"/>
                          <w:szCs w:val="20"/>
                        </w:rPr>
                      </w:pPr>
                      <w:r>
                        <w:rPr>
                          <w:rFonts w:cs="Arial"/>
                          <w:color w:val="FEFFFF"/>
                          <w:sz w:val="32"/>
                          <w:szCs w:val="44"/>
                          <w:lang w:val="en-US"/>
                        </w:rPr>
                        <w:t>Tuesday 17</w:t>
                      </w:r>
                      <w:r w:rsidRPr="00F26B1A">
                        <w:rPr>
                          <w:rFonts w:cs="Arial"/>
                          <w:color w:val="FEFFFF"/>
                          <w:sz w:val="32"/>
                          <w:szCs w:val="44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cs="Arial"/>
                          <w:color w:val="FEFFFF"/>
                          <w:sz w:val="32"/>
                          <w:szCs w:val="44"/>
                          <w:lang w:val="en-US"/>
                        </w:rPr>
                        <w:t xml:space="preserve"> December</w:t>
                      </w:r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  <w:r w:rsidR="00DC0CC3">
        <w:rPr>
          <w:rFonts w:eastAsia="Calibri" w:cs="Arial"/>
          <w:i/>
          <w:sz w:val="22"/>
          <w:szCs w:val="28"/>
        </w:rPr>
        <w:t>Committee members present:</w:t>
      </w:r>
    </w:p>
    <w:p w14:paraId="4DB228D9" w14:textId="1635EF36" w:rsidR="00DC0CC3" w:rsidRDefault="00DC0CC3" w:rsidP="001519C6">
      <w:pPr>
        <w:jc w:val="both"/>
        <w:rPr>
          <w:rFonts w:eastAsia="Calibri" w:cs="Arial"/>
          <w:i/>
          <w:sz w:val="22"/>
          <w:szCs w:val="28"/>
        </w:rPr>
      </w:pPr>
    </w:p>
    <w:p w14:paraId="097CAC25" w14:textId="7532067F" w:rsidR="00DC0CC3" w:rsidRDefault="00421EC3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Lara Parker, Sports Officer</w:t>
      </w:r>
      <w:r w:rsidR="001771D6">
        <w:rPr>
          <w:rFonts w:eastAsia="Calibri" w:cs="Arial"/>
          <w:i/>
          <w:sz w:val="22"/>
          <w:szCs w:val="28"/>
        </w:rPr>
        <w:t xml:space="preserve">, </w:t>
      </w:r>
      <w:proofErr w:type="spellStart"/>
      <w:r w:rsidR="001771D6">
        <w:rPr>
          <w:rFonts w:eastAsia="Calibri" w:cs="Arial"/>
          <w:i/>
          <w:sz w:val="22"/>
          <w:szCs w:val="28"/>
        </w:rPr>
        <w:t>co chair</w:t>
      </w:r>
      <w:proofErr w:type="spellEnd"/>
      <w:r w:rsidR="001771D6">
        <w:rPr>
          <w:rFonts w:eastAsia="Calibri" w:cs="Arial"/>
          <w:i/>
          <w:sz w:val="22"/>
          <w:szCs w:val="28"/>
        </w:rPr>
        <w:t xml:space="preserve"> </w:t>
      </w:r>
    </w:p>
    <w:p w14:paraId="7DF8E866" w14:textId="58A3390F" w:rsidR="001771D6" w:rsidRDefault="001771D6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Alex Keen – Education Officer</w:t>
      </w:r>
    </w:p>
    <w:p w14:paraId="15028931" w14:textId="7BC7C5C8" w:rsidR="001771D6" w:rsidRDefault="001771D6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Matthew Widdop</w:t>
      </w:r>
    </w:p>
    <w:p w14:paraId="60578E44" w14:textId="28726038" w:rsidR="001771D6" w:rsidRDefault="001771D6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Benedict Morgan</w:t>
      </w:r>
    </w:p>
    <w:p w14:paraId="4254FAC2" w14:textId="5124B3AD" w:rsidR="00DC0CC3" w:rsidRDefault="00DC0CC3" w:rsidP="001519C6">
      <w:pPr>
        <w:jc w:val="both"/>
        <w:rPr>
          <w:rFonts w:eastAsia="Calibri" w:cs="Arial"/>
          <w:i/>
          <w:sz w:val="22"/>
          <w:szCs w:val="28"/>
        </w:rPr>
      </w:pPr>
    </w:p>
    <w:p w14:paraId="080DCD77" w14:textId="2A78B935" w:rsidR="00DC0CC3" w:rsidRDefault="00DC0CC3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Supporting Staff Members:</w:t>
      </w:r>
    </w:p>
    <w:p w14:paraId="1586096E" w14:textId="77777777" w:rsidR="00421EC3" w:rsidRDefault="00421EC3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Samantha Macbeth (Student Activities Manager)</w:t>
      </w:r>
    </w:p>
    <w:p w14:paraId="021A5C1C" w14:textId="2C6ABA9E" w:rsidR="00DC0CC3" w:rsidRDefault="00DC0CC3" w:rsidP="001519C6">
      <w:pPr>
        <w:jc w:val="both"/>
        <w:rPr>
          <w:rFonts w:eastAsia="Calibri" w:cs="Arial"/>
          <w:i/>
          <w:sz w:val="22"/>
          <w:szCs w:val="28"/>
        </w:rPr>
      </w:pPr>
      <w:r>
        <w:rPr>
          <w:rFonts w:eastAsia="Calibri" w:cs="Arial"/>
          <w:i/>
          <w:sz w:val="22"/>
          <w:szCs w:val="28"/>
        </w:rPr>
        <w:t>Harriet Berrington-Hughes (Senior Student Groups Co-ordinator)</w:t>
      </w:r>
    </w:p>
    <w:p w14:paraId="02AD375C" w14:textId="4A31816A" w:rsidR="00DC0CC3" w:rsidRDefault="00DC0CC3" w:rsidP="001519C6">
      <w:pPr>
        <w:jc w:val="both"/>
        <w:rPr>
          <w:rFonts w:eastAsia="Calibri" w:cs="Arial"/>
          <w:i/>
          <w:sz w:val="22"/>
          <w:szCs w:val="28"/>
        </w:rPr>
      </w:pPr>
    </w:p>
    <w:p w14:paraId="683E93CD" w14:textId="77777777" w:rsidR="00DC0CC3" w:rsidRPr="00F824B8" w:rsidRDefault="00DC0CC3" w:rsidP="001519C6">
      <w:pPr>
        <w:jc w:val="both"/>
        <w:rPr>
          <w:rFonts w:eastAsia="Calibri" w:cs="Arial"/>
          <w:i/>
          <w:sz w:val="22"/>
          <w:szCs w:val="28"/>
        </w:rPr>
      </w:pPr>
    </w:p>
    <w:p w14:paraId="00CF2245" w14:textId="77777777" w:rsidR="00F824B8" w:rsidRPr="00F824B8" w:rsidRDefault="00F824B8" w:rsidP="001519C6">
      <w:pPr>
        <w:jc w:val="both"/>
        <w:rPr>
          <w:rFonts w:eastAsia="Calibri" w:cs="Arial"/>
          <w:i/>
          <w:sz w:val="22"/>
          <w:szCs w:val="28"/>
        </w:rPr>
      </w:pPr>
    </w:p>
    <w:p w14:paraId="25624EF7" w14:textId="3DF620E4" w:rsidR="00F824B8" w:rsidRPr="00F824B8" w:rsidRDefault="00F824B8" w:rsidP="001519C6">
      <w:pPr>
        <w:jc w:val="both"/>
        <w:rPr>
          <w:rFonts w:eastAsia="Calibri" w:cs="Arial"/>
          <w:b/>
          <w:sz w:val="22"/>
          <w:szCs w:val="28"/>
        </w:rPr>
      </w:pPr>
      <w:r w:rsidRPr="00F824B8">
        <w:rPr>
          <w:rFonts w:eastAsia="Calibri" w:cs="Arial"/>
          <w:b/>
          <w:sz w:val="22"/>
          <w:szCs w:val="28"/>
        </w:rPr>
        <w:t>Trigger Warnings:</w:t>
      </w:r>
      <w:r>
        <w:rPr>
          <w:rFonts w:eastAsia="Calibri" w:cs="Arial"/>
          <w:b/>
          <w:sz w:val="22"/>
          <w:szCs w:val="28"/>
        </w:rPr>
        <w:t xml:space="preserve"> </w:t>
      </w:r>
    </w:p>
    <w:p w14:paraId="27A1252C" w14:textId="77777777" w:rsidR="00F824B8" w:rsidRPr="00F824B8" w:rsidRDefault="00F824B8" w:rsidP="001519C6">
      <w:pPr>
        <w:jc w:val="both"/>
        <w:rPr>
          <w:rFonts w:ascii="Calibri" w:eastAsia="Calibri" w:hAnsi="Calibri" w:cs="Times New Roman"/>
          <w:sz w:val="20"/>
          <w:szCs w:val="28"/>
        </w:rPr>
      </w:pPr>
    </w:p>
    <w:tbl>
      <w:tblPr>
        <w:tblW w:w="9923" w:type="dxa"/>
        <w:tblInd w:w="-147" w:type="dxa"/>
        <w:tblBorders>
          <w:top w:val="single" w:sz="4" w:space="0" w:color="201C34"/>
          <w:bottom w:val="single" w:sz="4" w:space="0" w:color="201C34"/>
          <w:right w:val="single" w:sz="4" w:space="0" w:color="201C34"/>
          <w:insideH w:val="single" w:sz="4" w:space="0" w:color="201C34"/>
          <w:insideV w:val="single" w:sz="4" w:space="0" w:color="201C34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127"/>
        <w:gridCol w:w="4110"/>
        <w:gridCol w:w="2410"/>
      </w:tblGrid>
      <w:tr w:rsidR="00340307" w:rsidRPr="00710EE6" w14:paraId="30A4F9CE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5BBAA2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1B444D" w14:textId="530DBAC7" w:rsidR="00340307" w:rsidRPr="00710EE6" w:rsidRDefault="00340307" w:rsidP="00DB7F55">
            <w:pPr>
              <w:spacing w:line="360" w:lineRule="auto"/>
              <w:jc w:val="center"/>
              <w:rPr>
                <w:rFonts w:cs="Arial"/>
                <w:b/>
                <w:bCs/>
                <w:color w:val="FEFFFF"/>
                <w:szCs w:val="20"/>
              </w:rPr>
            </w:pPr>
            <w:r w:rsidRPr="00710EE6">
              <w:rPr>
                <w:rFonts w:cs="Arial"/>
                <w:b/>
                <w:bCs/>
                <w:color w:val="FEFFFF"/>
                <w:szCs w:val="20"/>
              </w:rPr>
              <w:t>Item No.</w:t>
            </w:r>
          </w:p>
        </w:tc>
        <w:tc>
          <w:tcPr>
            <w:tcW w:w="2127" w:type="dxa"/>
            <w:shd w:val="clear" w:color="auto" w:fill="56B09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4AE50E6" w14:textId="43E0FB8A" w:rsidR="00340307" w:rsidRPr="00710EE6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 w:rsidRPr="00710EE6">
              <w:rPr>
                <w:rFonts w:cs="Arial"/>
                <w:b/>
                <w:bCs/>
                <w:color w:val="FFFFFF" w:themeColor="background1"/>
                <w:szCs w:val="20"/>
              </w:rPr>
              <w:t>Item Title</w:t>
            </w:r>
          </w:p>
        </w:tc>
        <w:tc>
          <w:tcPr>
            <w:tcW w:w="4110" w:type="dxa"/>
            <w:shd w:val="clear" w:color="auto" w:fill="56B099"/>
          </w:tcPr>
          <w:p w14:paraId="1218C3D6" w14:textId="5D7D834F" w:rsidR="00340307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20"/>
              </w:rPr>
              <w:t>Meeting Notes</w:t>
            </w:r>
          </w:p>
        </w:tc>
        <w:tc>
          <w:tcPr>
            <w:tcW w:w="2410" w:type="dxa"/>
            <w:shd w:val="clear" w:color="auto" w:fill="56B099"/>
            <w:vAlign w:val="center"/>
          </w:tcPr>
          <w:p w14:paraId="3BBE59B7" w14:textId="6EC36952" w:rsidR="00340307" w:rsidRPr="00710EE6" w:rsidRDefault="00340307" w:rsidP="00DB7F55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FFFFFF" w:themeColor="background1"/>
                <w:szCs w:val="20"/>
              </w:rPr>
            </w:pPr>
            <w:r>
              <w:rPr>
                <w:rFonts w:cs="Arial"/>
                <w:b/>
                <w:bCs/>
                <w:color w:val="FFFFFF" w:themeColor="background1"/>
                <w:szCs w:val="20"/>
              </w:rPr>
              <w:t>Actions</w:t>
            </w:r>
          </w:p>
        </w:tc>
      </w:tr>
      <w:tr w:rsidR="00340307" w:rsidRPr="00710EE6" w14:paraId="2209E76F" w14:textId="77777777" w:rsidTr="00340307">
        <w:trPr>
          <w:cantSplit/>
          <w:trHeight w:val="380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410189F" w14:textId="5CBC0C5E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710EE6">
              <w:rPr>
                <w:rFonts w:cs="Arial"/>
                <w:b/>
                <w:bCs/>
                <w:color w:val="000000" w:themeColor="text1"/>
                <w:szCs w:val="20"/>
              </w:rPr>
              <w:t>Start</w:t>
            </w:r>
          </w:p>
        </w:tc>
        <w:tc>
          <w:tcPr>
            <w:tcW w:w="2127" w:type="dxa"/>
            <w:tcBorders>
              <w:bottom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AD15EB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4110" w:type="dxa"/>
            <w:tcBorders>
              <w:bottom w:val="single" w:sz="4" w:space="0" w:color="201C34"/>
            </w:tcBorders>
          </w:tcPr>
          <w:p w14:paraId="1A9A1B09" w14:textId="77777777" w:rsidR="00340307" w:rsidRPr="00710EE6" w:rsidRDefault="00340307" w:rsidP="005F4FCD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tcBorders>
              <w:bottom w:val="single" w:sz="4" w:space="0" w:color="201C34"/>
            </w:tcBorders>
            <w:shd w:val="clear" w:color="auto" w:fill="auto"/>
            <w:vAlign w:val="center"/>
          </w:tcPr>
          <w:p w14:paraId="46950009" w14:textId="5B1DA043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4237D99B" w14:textId="77777777" w:rsidTr="00340307">
        <w:trPr>
          <w:cantSplit/>
          <w:trHeight w:val="380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1003F00" w14:textId="0BD75C02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1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4936C4C" w14:textId="43CD25D6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710EE6">
              <w:rPr>
                <w:rFonts w:cs="Arial"/>
                <w:b/>
                <w:bCs/>
                <w:color w:val="000000" w:themeColor="text1"/>
                <w:szCs w:val="20"/>
              </w:rPr>
              <w:t>Welcome</w:t>
            </w:r>
            <w:r>
              <w:rPr>
                <w:rFonts w:cs="Arial"/>
                <w:b/>
                <w:bCs/>
                <w:color w:val="000000" w:themeColor="text1"/>
                <w:szCs w:val="20"/>
              </w:rPr>
              <w:t xml:space="preserve"> &amp; Introductions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7F1916BA" w14:textId="2EABF076" w:rsidR="00421EC3" w:rsidRDefault="001E6466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bookmarkStart w:id="0" w:name="_GoBack"/>
            <w:bookmarkEnd w:id="0"/>
            <w:r>
              <w:rPr>
                <w:rFonts w:cs="Arial"/>
                <w:color w:val="000000" w:themeColor="text1"/>
                <w:szCs w:val="20"/>
              </w:rPr>
              <w:t>HBH: carrying on from first</w:t>
            </w:r>
            <w:r w:rsidR="00421EC3">
              <w:rPr>
                <w:rFonts w:cs="Arial"/>
                <w:color w:val="000000" w:themeColor="text1"/>
                <w:szCs w:val="20"/>
              </w:rPr>
              <w:t xml:space="preserve"> meeting, shares context from the first meeting about approx how much was spent. Shares principles with the group again</w:t>
            </w:r>
          </w:p>
          <w:p w14:paraId="464CACD0" w14:textId="77777777" w:rsidR="00421EC3" w:rsidRDefault="00421EC3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6ADD32CE" w14:textId="3BA7B25D" w:rsidR="00421EC3" w:rsidRDefault="00421EC3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HBH: explains there are 3 categories left. Split into two groups for Religious and Cultural, then there is Activity left?</w:t>
            </w:r>
          </w:p>
          <w:p w14:paraId="0101F28F" w14:textId="77777777" w:rsidR="00421EC3" w:rsidRDefault="00421EC3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4CA64D8D" w14:textId="738D2396" w:rsidR="0016635C" w:rsidRDefault="00421EC3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Shall we all come back together to do Activity?  </w:t>
            </w:r>
          </w:p>
          <w:p w14:paraId="5E3A1FD6" w14:textId="78435E84" w:rsidR="00421EC3" w:rsidRDefault="00421EC3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1EACD095" w14:textId="4B23DC8D" w:rsidR="00421EC3" w:rsidRDefault="00421EC3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</w:t>
            </w:r>
            <w:proofErr w:type="gramStart"/>
            <w:r>
              <w:rPr>
                <w:rFonts w:cs="Arial"/>
                <w:color w:val="000000" w:themeColor="text1"/>
                <w:szCs w:val="20"/>
              </w:rPr>
              <w:t>yes</w:t>
            </w:r>
            <w:proofErr w:type="gramEnd"/>
            <w:r>
              <w:rPr>
                <w:rFonts w:cs="Arial"/>
                <w:color w:val="000000" w:themeColor="text1"/>
                <w:szCs w:val="20"/>
              </w:rPr>
              <w:t xml:space="preserve"> sounds good</w:t>
            </w:r>
          </w:p>
          <w:p w14:paraId="1D2D1A91" w14:textId="6660F607" w:rsidR="00CB639D" w:rsidRDefault="00CB639D" w:rsidP="001E150A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  <w:p w14:paraId="540DF3A4" w14:textId="3654BCFF" w:rsidR="00EA010D" w:rsidRPr="00710EE6" w:rsidRDefault="00EA010D" w:rsidP="001E6466">
            <w:pPr>
              <w:pStyle w:val="Body"/>
              <w:spacing w:line="360" w:lineRule="auto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3F0C356" w14:textId="250BE2F1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7F86D983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3A3E27A" w14:textId="4CCAED50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2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E56555D" w14:textId="7B42C620" w:rsidR="00340307" w:rsidRPr="00710EE6" w:rsidRDefault="002E6728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Grant Decisions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0697538A" w14:textId="0A156D56" w:rsidR="00DA1C9A" w:rsidRDefault="00823150" w:rsidP="00DA1C9A">
            <w:pPr>
              <w:pStyle w:val="Body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Grant decisions were made and recorded on the Semester </w:t>
            </w:r>
            <w:r w:rsidR="00CB639D">
              <w:rPr>
                <w:rFonts w:cs="Arial"/>
                <w:color w:val="000000" w:themeColor="text1"/>
                <w:szCs w:val="20"/>
              </w:rPr>
              <w:t>2</w:t>
            </w:r>
            <w:r>
              <w:rPr>
                <w:rFonts w:cs="Arial"/>
                <w:color w:val="000000" w:themeColor="text1"/>
                <w:szCs w:val="20"/>
              </w:rPr>
              <w:t xml:space="preserve"> 2024-25 Grant Spreadsheet. </w:t>
            </w:r>
            <w:r w:rsidR="00CB639D">
              <w:rPr>
                <w:rFonts w:cs="Arial"/>
                <w:color w:val="000000" w:themeColor="text1"/>
                <w:szCs w:val="20"/>
              </w:rPr>
              <w:t xml:space="preserve">The </w:t>
            </w:r>
            <w:r w:rsidRPr="00026A30">
              <w:rPr>
                <w:rFonts w:cs="Arial"/>
                <w:szCs w:val="24"/>
              </w:rPr>
              <w:t xml:space="preserve">committee decided to separate into smaller groups with support from staff members. This was to ensure that applications were resolved </w:t>
            </w:r>
            <w:r>
              <w:rPr>
                <w:rFonts w:cs="Arial"/>
                <w:szCs w:val="24"/>
              </w:rPr>
              <w:t>in time, due to the volume of applications and the small committee.</w:t>
            </w:r>
          </w:p>
          <w:p w14:paraId="3D57139F" w14:textId="77777777" w:rsidR="00DA1C9A" w:rsidRDefault="00DA1C9A" w:rsidP="00DA1C9A">
            <w:pPr>
              <w:pStyle w:val="Body"/>
              <w:spacing w:line="360" w:lineRule="auto"/>
              <w:rPr>
                <w:rFonts w:cs="Arial"/>
                <w:szCs w:val="24"/>
              </w:rPr>
            </w:pPr>
          </w:p>
          <w:p w14:paraId="658F34F7" w14:textId="77777777" w:rsidR="00DA1C9A" w:rsidRDefault="00823150" w:rsidP="00DA1C9A">
            <w:pPr>
              <w:pStyle w:val="Body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 </w:t>
            </w:r>
            <w:r w:rsidRPr="00026A30">
              <w:rPr>
                <w:rFonts w:cs="Arial"/>
                <w:szCs w:val="24"/>
              </w:rPr>
              <w:t>Where a category was not resolved in one meeting, only the same committee members reviewed it in a second sitting</w:t>
            </w:r>
            <w:r w:rsidR="00DA1C9A">
              <w:rPr>
                <w:rFonts w:cs="Arial"/>
                <w:szCs w:val="24"/>
              </w:rPr>
              <w:t>.</w:t>
            </w:r>
          </w:p>
          <w:p w14:paraId="28FB2C05" w14:textId="77777777" w:rsidR="00DA1C9A" w:rsidRDefault="00DA1C9A" w:rsidP="00DA1C9A">
            <w:pPr>
              <w:pStyle w:val="Body"/>
              <w:spacing w:line="360" w:lineRule="auto"/>
              <w:rPr>
                <w:rFonts w:cs="Arial"/>
                <w:szCs w:val="24"/>
              </w:rPr>
            </w:pPr>
          </w:p>
          <w:p w14:paraId="340272A8" w14:textId="46D47C54" w:rsidR="00340307" w:rsidRDefault="00DA1C9A" w:rsidP="00DA1C9A">
            <w:pPr>
              <w:pStyle w:val="Body"/>
              <w:spacing w:line="360" w:lineRule="aut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The following principals were set by the committee:</w:t>
            </w:r>
          </w:p>
          <w:p w14:paraId="4B577675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75683447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Campus league – 50% of the entrance fee per term </w:t>
            </w:r>
          </w:p>
          <w:p w14:paraId="39AA7676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5B8F71A5" w14:textId="09A2625F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Event which can be ticketed –</w:t>
            </w:r>
            <w:r w:rsidR="00CB639D">
              <w:rPr>
                <w:rFonts w:cs="Arial"/>
                <w:sz w:val="20"/>
              </w:rPr>
              <w:t xml:space="preserve">guidance of </w:t>
            </w:r>
            <w:r>
              <w:rPr>
                <w:rFonts w:cs="Arial"/>
                <w:sz w:val="20"/>
              </w:rPr>
              <w:t xml:space="preserve">£50 </w:t>
            </w:r>
            <w:r w:rsidR="007861C5">
              <w:rPr>
                <w:rFonts w:cs="Arial"/>
                <w:sz w:val="20"/>
              </w:rPr>
              <w:t>150</w:t>
            </w:r>
          </w:p>
          <w:p w14:paraId="2907AC8C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26733607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External speakers related costs – maximum 75% </w:t>
            </w:r>
          </w:p>
          <w:p w14:paraId="2CEC62BE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0394CF58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Food – maximum £75</w:t>
            </w:r>
          </w:p>
          <w:p w14:paraId="7EE31EE8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6A25B678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Website related costs - £200 </w:t>
            </w:r>
          </w:p>
          <w:p w14:paraId="43D6141A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06CE029D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Max £150 for Ball events </w:t>
            </w:r>
          </w:p>
          <w:p w14:paraId="2846FA5B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45FF4D2D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Max £100 for costumes </w:t>
            </w:r>
          </w:p>
          <w:p w14:paraId="6E408233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3BCFC9FA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Tech – 50%, max of £500</w:t>
            </w:r>
          </w:p>
          <w:p w14:paraId="2D844194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45D4A8BA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£25 for one off events </w:t>
            </w:r>
          </w:p>
          <w:p w14:paraId="0A59B8DF" w14:textId="77777777" w:rsidR="00DA1C9A" w:rsidRDefault="00DA1C9A" w:rsidP="00DA1C9A">
            <w:pPr>
              <w:rPr>
                <w:rFonts w:cs="Arial"/>
                <w:sz w:val="20"/>
              </w:rPr>
            </w:pPr>
          </w:p>
          <w:p w14:paraId="2F15F990" w14:textId="77777777" w:rsidR="00DA1C9A" w:rsidRDefault="00DA1C9A" w:rsidP="00DA1C9A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Sport equipment – 50% max of £75</w:t>
            </w:r>
          </w:p>
          <w:p w14:paraId="2220D1CC" w14:textId="15994540" w:rsidR="00DA1C9A" w:rsidRPr="00710EE6" w:rsidRDefault="00DA1C9A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8C97316" w14:textId="3648CE58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54D90ED8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382D9122" w14:textId="0F833BB4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lastRenderedPageBreak/>
              <w:t>3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7259886" w14:textId="4C853F83" w:rsidR="00340307" w:rsidRPr="00710EE6" w:rsidRDefault="002E6728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>
              <w:rPr>
                <w:rFonts w:cs="Arial"/>
                <w:b/>
                <w:bCs/>
                <w:color w:val="000000" w:themeColor="text1"/>
                <w:szCs w:val="20"/>
              </w:rPr>
              <w:t>AOB &amp; Goodbye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5F8A168E" w14:textId="77777777" w:rsidR="00E315F6" w:rsidRDefault="00421EC3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LP: AOB?</w:t>
            </w:r>
          </w:p>
          <w:p w14:paraId="6A17A77B" w14:textId="217F6078" w:rsidR="00421EC3" w:rsidRDefault="00421EC3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EA4B12A" w14:textId="318C7D07" w:rsidR="00421EC3" w:rsidRDefault="00421EC3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shares some concerns about amount of money left for semester 3 </w:t>
            </w:r>
          </w:p>
          <w:p w14:paraId="75A54D6E" w14:textId="77777777" w:rsidR="00421EC3" w:rsidRDefault="00421EC3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3E7908F" w14:textId="77777777" w:rsidR="00421EC3" w:rsidRDefault="00421EC3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if we do semester 3 and don’t have enough of this left, we can use the de-rec pot can’t we?</w:t>
            </w:r>
          </w:p>
          <w:p w14:paraId="5634506E" w14:textId="77777777" w:rsidR="00421EC3" w:rsidRDefault="00421EC3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D6CE41C" w14:textId="77777777" w:rsidR="00421EC3" w:rsidRDefault="00421EC3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HBH: I will need to check that, but the figures look fine. Semester 3 spends less</w:t>
            </w:r>
          </w:p>
          <w:p w14:paraId="5432953E" w14:textId="77777777" w:rsidR="00421EC3" w:rsidRDefault="00421EC3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3B125C2C" w14:textId="263BED3D" w:rsidR="00421EC3" w:rsidRDefault="00421EC3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MW: discusses how figures looked for last year. Check the spreadsheet?</w:t>
            </w:r>
          </w:p>
          <w:p w14:paraId="6644C5BD" w14:textId="77777777" w:rsidR="00421EC3" w:rsidRDefault="00421EC3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890CC34" w14:textId="77777777" w:rsidR="00421EC3" w:rsidRDefault="00421EC3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HBH: 23-24 spreadsheet shows about £5k spent in semester 3 last year, £11k allocated </w:t>
            </w:r>
          </w:p>
          <w:p w14:paraId="14F3A721" w14:textId="77777777" w:rsidR="00421EC3" w:rsidRDefault="00421EC3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6F279F6A" w14:textId="77777777" w:rsidR="00421EC3" w:rsidRDefault="00421EC3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MW: I think we’ll be fine </w:t>
            </w:r>
          </w:p>
          <w:p w14:paraId="64D9727D" w14:textId="77777777" w:rsidR="00421EC3" w:rsidRDefault="00421EC3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40D21B5B" w14:textId="77777777" w:rsidR="00421EC3" w:rsidRDefault="00421EC3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MW you have better knowledge than me, happy to go with it if you think it’s fine </w:t>
            </w:r>
          </w:p>
          <w:p w14:paraId="0B2ABC13" w14:textId="77777777" w:rsidR="00421EC3" w:rsidRDefault="00421EC3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EBF1C9B" w14:textId="77777777" w:rsidR="00421EC3" w:rsidRDefault="00421EC3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lastRenderedPageBreak/>
              <w:t xml:space="preserve">MW, AK, BM: confident in the allocation figures </w:t>
            </w:r>
          </w:p>
          <w:p w14:paraId="321840E4" w14:textId="77777777" w:rsidR="00421EC3" w:rsidRDefault="00421EC3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27075BBB" w14:textId="77777777" w:rsidR="00421EC3" w:rsidRDefault="00421EC3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 xml:space="preserve">LP: Great, thanks everyone </w:t>
            </w:r>
          </w:p>
          <w:p w14:paraId="7F8F2792" w14:textId="77777777" w:rsidR="00421EC3" w:rsidRDefault="00421EC3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  <w:p w14:paraId="5FE1BFD8" w14:textId="1F40142A" w:rsidR="00421EC3" w:rsidRPr="00421EC3" w:rsidRDefault="00421EC3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421EC3">
              <w:rPr>
                <w:rFonts w:cs="Arial"/>
                <w:b/>
                <w:color w:val="000000" w:themeColor="text1"/>
                <w:szCs w:val="20"/>
              </w:rPr>
              <w:t>Committee says goodbye and meeting ends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5CF9E713" w14:textId="601D520E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272C939D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7AF60A2C" w14:textId="389612A7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t>4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BF1261B" w14:textId="0625AE08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2919FDB2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4CB1BB" w14:textId="7289BCB9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401451B8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AC38927" w14:textId="7056553A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 w:rsidRPr="00710EE6">
              <w:rPr>
                <w:rFonts w:cs="Arial"/>
                <w:color w:val="000000" w:themeColor="text1"/>
                <w:szCs w:val="20"/>
              </w:rPr>
              <w:t>5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A71664C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0943B695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2EF39D3" w14:textId="65264C23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7651DFD1" w14:textId="05C019C5" w:rsidTr="00340307">
        <w:trPr>
          <w:gridAfter w:val="1"/>
          <w:wAfter w:w="2410" w:type="dxa"/>
          <w:cantSplit/>
          <w:trHeight w:val="314"/>
        </w:trPr>
        <w:tc>
          <w:tcPr>
            <w:tcW w:w="1276" w:type="dxa"/>
            <w:tcBorders>
              <w:left w:val="single" w:sz="4" w:space="0" w:color="201C34"/>
            </w:tcBorders>
          </w:tcPr>
          <w:p w14:paraId="7117AD2F" w14:textId="77777777" w:rsidR="00340307" w:rsidRPr="00710EE6" w:rsidRDefault="00340307" w:rsidP="00F824B8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6237" w:type="dxa"/>
            <w:gridSpan w:val="2"/>
            <w:tcBorders>
              <w:left w:val="single" w:sz="4" w:space="0" w:color="201C34"/>
            </w:tcBorders>
          </w:tcPr>
          <w:p w14:paraId="35A9516A" w14:textId="77777777" w:rsidR="00340307" w:rsidRPr="00710EE6" w:rsidRDefault="00340307" w:rsidP="00F824B8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3C3AFA9C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955D390" w14:textId="7BB83007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6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CA1FCB9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49F68F97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58231B23" w14:textId="3BA527D9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0F3946FF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2FBA5EB" w14:textId="71679C2B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7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5B18E895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07194E49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551B0AB" w14:textId="12EF72F1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3ED3814F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8C1B312" w14:textId="40401CB5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8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9FFA164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6B215E45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071C3A97" w14:textId="70DD0BFA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78F80593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8125437" w14:textId="12D7A770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9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235BBF7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468B4610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6DA361D9" w14:textId="7A2A5EFF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17FFEA39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6493D396" w14:textId="6F838B4A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10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16292059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20994DCB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76DAF999" w14:textId="680B9D2A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  <w:tr w:rsidR="00340307" w:rsidRPr="00710EE6" w14:paraId="333E9DAF" w14:textId="77777777" w:rsidTr="00340307">
        <w:trPr>
          <w:cantSplit/>
          <w:trHeight w:val="363"/>
        </w:trPr>
        <w:tc>
          <w:tcPr>
            <w:tcW w:w="1276" w:type="dxa"/>
            <w:tcBorders>
              <w:left w:val="single" w:sz="4" w:space="0" w:color="201C34"/>
            </w:tcBorders>
            <w:shd w:val="clear" w:color="auto" w:fill="auto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242C3B8D" w14:textId="65DFAA39" w:rsidR="00340307" w:rsidRPr="00710EE6" w:rsidRDefault="00340307" w:rsidP="00710EE6">
            <w:pPr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11</w:t>
            </w:r>
          </w:p>
        </w:tc>
        <w:tc>
          <w:tcPr>
            <w:tcW w:w="2127" w:type="dxa"/>
            <w:shd w:val="clear" w:color="auto" w:fill="D9D9D9" w:themeFill="background1" w:themeFillShade="D9"/>
            <w:tcMar>
              <w:top w:w="160" w:type="dxa"/>
              <w:left w:w="160" w:type="dxa"/>
              <w:bottom w:w="160" w:type="dxa"/>
              <w:right w:w="160" w:type="dxa"/>
            </w:tcMar>
            <w:vAlign w:val="center"/>
          </w:tcPr>
          <w:p w14:paraId="4FF5595A" w14:textId="61278044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14:paraId="1D222B41" w14:textId="77777777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2F6C65D2" w14:textId="344A300D" w:rsidR="00340307" w:rsidRPr="00710EE6" w:rsidRDefault="00340307" w:rsidP="00710EE6">
            <w:pPr>
              <w:pStyle w:val="Body"/>
              <w:spacing w:line="360" w:lineRule="auto"/>
              <w:jc w:val="center"/>
              <w:rPr>
                <w:rFonts w:cs="Arial"/>
                <w:color w:val="000000" w:themeColor="text1"/>
                <w:szCs w:val="20"/>
              </w:rPr>
            </w:pPr>
          </w:p>
        </w:tc>
      </w:tr>
    </w:tbl>
    <w:p w14:paraId="6FD17892" w14:textId="77777777" w:rsidR="00710EE6" w:rsidRPr="00710EE6" w:rsidRDefault="00710EE6" w:rsidP="00D961BA">
      <w:pPr>
        <w:rPr>
          <w:rFonts w:cs="Arial"/>
          <w:b/>
          <w:bCs/>
          <w:color w:val="000000" w:themeColor="text1"/>
          <w:szCs w:val="20"/>
        </w:rPr>
      </w:pPr>
    </w:p>
    <w:p w14:paraId="21B70FCE" w14:textId="1E1308C4" w:rsidR="00A657D0" w:rsidRDefault="00710EE6" w:rsidP="00D961BA">
      <w:pPr>
        <w:rPr>
          <w:rFonts w:cs="Arial"/>
          <w:b/>
          <w:bCs/>
          <w:color w:val="000000" w:themeColor="text1"/>
          <w:szCs w:val="20"/>
        </w:rPr>
      </w:pPr>
      <w:r w:rsidRPr="00710EE6">
        <w:rPr>
          <w:rFonts w:cs="Arial"/>
          <w:b/>
          <w:bCs/>
          <w:color w:val="000000" w:themeColor="text1"/>
          <w:szCs w:val="20"/>
        </w:rPr>
        <w:t>Date</w:t>
      </w:r>
      <w:r w:rsidR="00F824B8">
        <w:rPr>
          <w:rFonts w:cs="Arial"/>
          <w:b/>
          <w:bCs/>
          <w:color w:val="000000" w:themeColor="text1"/>
          <w:szCs w:val="20"/>
        </w:rPr>
        <w:t xml:space="preserve"> &amp; Time</w:t>
      </w:r>
      <w:r w:rsidRPr="00710EE6">
        <w:rPr>
          <w:rFonts w:cs="Arial"/>
          <w:b/>
          <w:bCs/>
          <w:color w:val="000000" w:themeColor="text1"/>
          <w:szCs w:val="20"/>
        </w:rPr>
        <w:t xml:space="preserve"> of next meeting:</w:t>
      </w:r>
      <w:r w:rsidR="00843668">
        <w:rPr>
          <w:rFonts w:cs="Arial"/>
          <w:b/>
          <w:bCs/>
          <w:color w:val="000000" w:themeColor="text1"/>
          <w:szCs w:val="20"/>
        </w:rPr>
        <w:t xml:space="preserve"> TBC</w:t>
      </w:r>
    </w:p>
    <w:p w14:paraId="5333E79B" w14:textId="0948F64F" w:rsidR="00EA010D" w:rsidRDefault="00EA010D" w:rsidP="00D961BA">
      <w:pPr>
        <w:rPr>
          <w:rFonts w:cs="Arial"/>
          <w:sz w:val="20"/>
        </w:rPr>
      </w:pPr>
    </w:p>
    <w:p w14:paraId="2DE4AFC4" w14:textId="77777777" w:rsidR="00EA010D" w:rsidRDefault="00EA010D" w:rsidP="00D961BA">
      <w:pPr>
        <w:rPr>
          <w:rFonts w:cs="Arial"/>
          <w:sz w:val="20"/>
        </w:rPr>
      </w:pPr>
    </w:p>
    <w:p w14:paraId="2ABE6923" w14:textId="77777777" w:rsidR="00EA010D" w:rsidRDefault="00EA010D" w:rsidP="00D961BA">
      <w:pPr>
        <w:rPr>
          <w:rFonts w:cs="Arial"/>
          <w:sz w:val="20"/>
        </w:rPr>
      </w:pPr>
    </w:p>
    <w:p w14:paraId="1941CE29" w14:textId="77777777" w:rsidR="00EA010D" w:rsidRDefault="00EA010D" w:rsidP="00D961BA">
      <w:pPr>
        <w:rPr>
          <w:rFonts w:cs="Arial"/>
          <w:sz w:val="20"/>
        </w:rPr>
      </w:pPr>
    </w:p>
    <w:p w14:paraId="4F1DF5BD" w14:textId="153F9A1B" w:rsidR="00EA010D" w:rsidRDefault="00EA010D" w:rsidP="00D961BA">
      <w:pPr>
        <w:rPr>
          <w:rFonts w:cs="Arial"/>
          <w:sz w:val="20"/>
        </w:rPr>
      </w:pPr>
      <w:r>
        <w:rPr>
          <w:rFonts w:cs="Arial"/>
          <w:sz w:val="20"/>
        </w:rPr>
        <w:t xml:space="preserve">Principals: </w:t>
      </w:r>
    </w:p>
    <w:p w14:paraId="4407AD3D" w14:textId="77777777" w:rsidR="00EA010D" w:rsidRDefault="00EA010D" w:rsidP="00D961BA">
      <w:pPr>
        <w:rPr>
          <w:rFonts w:cs="Arial"/>
          <w:sz w:val="20"/>
        </w:rPr>
      </w:pPr>
    </w:p>
    <w:p w14:paraId="74759F43" w14:textId="77777777" w:rsidR="00EA010D" w:rsidRDefault="00EA010D" w:rsidP="00D961BA">
      <w:pPr>
        <w:rPr>
          <w:rFonts w:cs="Arial"/>
          <w:sz w:val="20"/>
        </w:rPr>
      </w:pPr>
    </w:p>
    <w:p w14:paraId="04719A78" w14:textId="73480A76" w:rsidR="00EA010D" w:rsidRDefault="00EA010D" w:rsidP="00D961BA">
      <w:pPr>
        <w:rPr>
          <w:rFonts w:cs="Arial"/>
          <w:sz w:val="20"/>
        </w:rPr>
      </w:pPr>
      <w:r>
        <w:rPr>
          <w:rFonts w:cs="Arial"/>
          <w:sz w:val="20"/>
        </w:rPr>
        <w:t xml:space="preserve">Campus league </w:t>
      </w:r>
      <w:r w:rsidR="00391CEA">
        <w:rPr>
          <w:rFonts w:cs="Arial"/>
          <w:sz w:val="20"/>
        </w:rPr>
        <w:t xml:space="preserve">– 50% of the entrance fee per term </w:t>
      </w:r>
    </w:p>
    <w:p w14:paraId="2DC64C80" w14:textId="2B719940" w:rsidR="00391CEA" w:rsidRDefault="00391CEA" w:rsidP="00D961BA">
      <w:pPr>
        <w:rPr>
          <w:rFonts w:cs="Arial"/>
          <w:sz w:val="20"/>
        </w:rPr>
      </w:pPr>
    </w:p>
    <w:p w14:paraId="4011026B" w14:textId="6685C1D4" w:rsidR="00391CEA" w:rsidRDefault="00D1705B" w:rsidP="00D961BA">
      <w:pPr>
        <w:rPr>
          <w:rFonts w:cs="Arial"/>
          <w:sz w:val="20"/>
        </w:rPr>
      </w:pPr>
      <w:r>
        <w:rPr>
          <w:rFonts w:cs="Arial"/>
          <w:sz w:val="20"/>
        </w:rPr>
        <w:lastRenderedPageBreak/>
        <w:t>Event which can be ticketed –</w:t>
      </w:r>
      <w:r w:rsidR="001C7422">
        <w:rPr>
          <w:rFonts w:cs="Arial"/>
          <w:sz w:val="20"/>
        </w:rPr>
        <w:t xml:space="preserve">guidance of </w:t>
      </w:r>
      <w:r>
        <w:rPr>
          <w:rFonts w:cs="Arial"/>
          <w:sz w:val="20"/>
        </w:rPr>
        <w:t xml:space="preserve">£50 </w:t>
      </w:r>
    </w:p>
    <w:p w14:paraId="11DC456F" w14:textId="4A6077BC" w:rsidR="009E6A5D" w:rsidRDefault="009E6A5D" w:rsidP="00D961BA">
      <w:pPr>
        <w:rPr>
          <w:rFonts w:cs="Arial"/>
          <w:sz w:val="20"/>
        </w:rPr>
      </w:pPr>
    </w:p>
    <w:p w14:paraId="71DE3AEA" w14:textId="7766B7BC" w:rsidR="009E6A5D" w:rsidRDefault="009E6A5D" w:rsidP="00D961BA">
      <w:pPr>
        <w:rPr>
          <w:rFonts w:cs="Arial"/>
          <w:sz w:val="20"/>
        </w:rPr>
      </w:pPr>
      <w:r>
        <w:rPr>
          <w:rFonts w:cs="Arial"/>
          <w:sz w:val="20"/>
        </w:rPr>
        <w:t xml:space="preserve">External speakers related costs – maximum 75% </w:t>
      </w:r>
    </w:p>
    <w:p w14:paraId="20B42FB3" w14:textId="3B96B71A" w:rsidR="00573B03" w:rsidRDefault="00573B03" w:rsidP="00D961BA">
      <w:pPr>
        <w:rPr>
          <w:rFonts w:cs="Arial"/>
          <w:sz w:val="20"/>
        </w:rPr>
      </w:pPr>
    </w:p>
    <w:p w14:paraId="1FFB2874" w14:textId="1DA57F37" w:rsidR="00573B03" w:rsidRDefault="009E6A5D" w:rsidP="00D961BA">
      <w:pPr>
        <w:rPr>
          <w:rFonts w:cs="Arial"/>
          <w:sz w:val="20"/>
        </w:rPr>
      </w:pPr>
      <w:r>
        <w:rPr>
          <w:rFonts w:cs="Arial"/>
          <w:sz w:val="20"/>
        </w:rPr>
        <w:t>Food – maximum £75</w:t>
      </w:r>
    </w:p>
    <w:p w14:paraId="2E3142A6" w14:textId="32D6B33F" w:rsidR="009E6A5D" w:rsidRDefault="009E6A5D" w:rsidP="00D961BA">
      <w:pPr>
        <w:rPr>
          <w:rFonts w:cs="Arial"/>
          <w:sz w:val="20"/>
        </w:rPr>
      </w:pPr>
    </w:p>
    <w:p w14:paraId="71A742AA" w14:textId="2C78B88F" w:rsidR="009E6A5D" w:rsidRDefault="006D2914" w:rsidP="00D961BA">
      <w:pPr>
        <w:rPr>
          <w:rFonts w:cs="Arial"/>
          <w:sz w:val="20"/>
        </w:rPr>
      </w:pPr>
      <w:r>
        <w:rPr>
          <w:rFonts w:cs="Arial"/>
          <w:sz w:val="20"/>
        </w:rPr>
        <w:t xml:space="preserve">Website related costs - £200 </w:t>
      </w:r>
    </w:p>
    <w:p w14:paraId="2E4D1AB2" w14:textId="49BD5CC2" w:rsidR="006D2914" w:rsidRDefault="006D2914" w:rsidP="00D961BA">
      <w:pPr>
        <w:rPr>
          <w:rFonts w:cs="Arial"/>
          <w:sz w:val="20"/>
        </w:rPr>
      </w:pPr>
    </w:p>
    <w:p w14:paraId="009C5386" w14:textId="45F2680F" w:rsidR="006D2914" w:rsidRDefault="0072482D" w:rsidP="00D961BA">
      <w:pPr>
        <w:rPr>
          <w:rFonts w:cs="Arial"/>
          <w:sz w:val="20"/>
        </w:rPr>
      </w:pPr>
      <w:r>
        <w:rPr>
          <w:rFonts w:cs="Arial"/>
          <w:sz w:val="20"/>
        </w:rPr>
        <w:t xml:space="preserve">Max £150 for Ball events </w:t>
      </w:r>
    </w:p>
    <w:p w14:paraId="7FDC83E8" w14:textId="49E28EED" w:rsidR="006D2914" w:rsidRDefault="006D2914" w:rsidP="00D961BA">
      <w:pPr>
        <w:rPr>
          <w:rFonts w:cs="Arial"/>
          <w:sz w:val="20"/>
        </w:rPr>
      </w:pPr>
    </w:p>
    <w:p w14:paraId="1391F2E4" w14:textId="4F34E3D5" w:rsidR="00A926C0" w:rsidRDefault="00F256E7" w:rsidP="00D961BA">
      <w:pPr>
        <w:rPr>
          <w:rFonts w:cs="Arial"/>
          <w:sz w:val="20"/>
        </w:rPr>
      </w:pPr>
      <w:r>
        <w:rPr>
          <w:rFonts w:cs="Arial"/>
          <w:sz w:val="20"/>
        </w:rPr>
        <w:t>Max</w:t>
      </w:r>
      <w:r w:rsidR="002427B5">
        <w:rPr>
          <w:rFonts w:cs="Arial"/>
          <w:sz w:val="20"/>
        </w:rPr>
        <w:t xml:space="preserve"> £100 for costumes </w:t>
      </w:r>
    </w:p>
    <w:p w14:paraId="3B154882" w14:textId="3A8B6CCF" w:rsidR="002427B5" w:rsidRDefault="002427B5" w:rsidP="00D961BA">
      <w:pPr>
        <w:rPr>
          <w:rFonts w:cs="Arial"/>
          <w:sz w:val="20"/>
        </w:rPr>
      </w:pPr>
    </w:p>
    <w:p w14:paraId="11DA02EA" w14:textId="07D09F3A" w:rsidR="002427B5" w:rsidRDefault="002427B5" w:rsidP="00D961BA">
      <w:pPr>
        <w:rPr>
          <w:rFonts w:cs="Arial"/>
          <w:sz w:val="20"/>
        </w:rPr>
      </w:pPr>
      <w:r>
        <w:rPr>
          <w:rFonts w:cs="Arial"/>
          <w:sz w:val="20"/>
        </w:rPr>
        <w:t>Tech – 50%, max of £500</w:t>
      </w:r>
    </w:p>
    <w:p w14:paraId="69791A95" w14:textId="65FDADE7" w:rsidR="00D53C84" w:rsidRDefault="00D53C84" w:rsidP="00D961BA">
      <w:pPr>
        <w:rPr>
          <w:rFonts w:cs="Arial"/>
          <w:sz w:val="20"/>
        </w:rPr>
      </w:pPr>
    </w:p>
    <w:p w14:paraId="500566B6" w14:textId="576E7A92" w:rsidR="00D53C84" w:rsidRDefault="00BF1DB9" w:rsidP="00D961BA">
      <w:pPr>
        <w:rPr>
          <w:rFonts w:cs="Arial"/>
          <w:sz w:val="20"/>
        </w:rPr>
      </w:pPr>
      <w:r>
        <w:rPr>
          <w:rFonts w:cs="Arial"/>
          <w:sz w:val="20"/>
        </w:rPr>
        <w:t xml:space="preserve">£25 for one off events </w:t>
      </w:r>
    </w:p>
    <w:p w14:paraId="446127C7" w14:textId="5E3FD6FB" w:rsidR="00BF1DB9" w:rsidRDefault="00BF1DB9" w:rsidP="00D961BA">
      <w:pPr>
        <w:rPr>
          <w:rFonts w:cs="Arial"/>
          <w:sz w:val="20"/>
        </w:rPr>
      </w:pPr>
    </w:p>
    <w:p w14:paraId="52274548" w14:textId="6A0440D5" w:rsidR="00BF1DB9" w:rsidRDefault="00C2284F" w:rsidP="00D961BA">
      <w:pPr>
        <w:rPr>
          <w:rFonts w:cs="Arial"/>
          <w:sz w:val="20"/>
        </w:rPr>
      </w:pPr>
      <w:r>
        <w:rPr>
          <w:rFonts w:cs="Arial"/>
          <w:sz w:val="20"/>
        </w:rPr>
        <w:t>Sport equipment – 50% max of £75</w:t>
      </w:r>
    </w:p>
    <w:p w14:paraId="4189EAD5" w14:textId="79195109" w:rsidR="00C2284F" w:rsidRPr="00710EE6" w:rsidRDefault="00C2284F" w:rsidP="00D961BA">
      <w:pPr>
        <w:rPr>
          <w:rFonts w:cs="Arial"/>
          <w:sz w:val="20"/>
        </w:rPr>
      </w:pPr>
    </w:p>
    <w:sectPr w:rsidR="00C2284F" w:rsidRPr="00710EE6" w:rsidSect="003B21E8">
      <w:headerReference w:type="default" r:id="rId8"/>
      <w:footerReference w:type="even" r:id="rId9"/>
      <w:footerReference w:type="default" r:id="rId10"/>
      <w:pgSz w:w="11900" w:h="16840"/>
      <w:pgMar w:top="3119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714BB9" w14:textId="77777777" w:rsidR="00880F35" w:rsidRDefault="00880F35" w:rsidP="00A91DE8">
      <w:r>
        <w:separator/>
      </w:r>
    </w:p>
  </w:endnote>
  <w:endnote w:type="continuationSeparator" w:id="0">
    <w:p w14:paraId="46A04024" w14:textId="77777777" w:rsidR="00880F35" w:rsidRDefault="00880F35" w:rsidP="00A91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610140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D719B8" w14:textId="7E472777" w:rsidR="00880F35" w:rsidRDefault="00880F35" w:rsidP="00880F3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016BD1" w14:textId="20EE1F6E" w:rsidR="00880F35" w:rsidRDefault="005F4FCD" w:rsidP="00567176">
    <w:pPr>
      <w:pStyle w:val="Footer"/>
      <w:ind w:right="360"/>
    </w:pPr>
    <w:sdt>
      <w:sdtPr>
        <w:id w:val="969400743"/>
        <w:temporary/>
        <w:showingPlcHdr/>
      </w:sdtPr>
      <w:sdtEndPr/>
      <w:sdtContent>
        <w:r w:rsidR="00880F35">
          <w:t>[Type text]</w:t>
        </w:r>
      </w:sdtContent>
    </w:sdt>
    <w:r w:rsidR="00880F35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880F35">
          <w:t>[Type text]</w:t>
        </w:r>
      </w:sdtContent>
    </w:sdt>
    <w:r w:rsidR="00880F35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880F35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cs="Arial"/>
        <w:b w:val="0"/>
        <w:bCs/>
      </w:rPr>
      <w:id w:val="626121448"/>
      <w:docPartObj>
        <w:docPartGallery w:val="Page Numbers (Bottom of Page)"/>
        <w:docPartUnique/>
      </w:docPartObj>
    </w:sdtPr>
    <w:sdtEndPr>
      <w:rPr>
        <w:rStyle w:val="PageNumber"/>
        <w:color w:val="201C34"/>
      </w:rPr>
    </w:sdtEndPr>
    <w:sdtContent>
      <w:p w14:paraId="50B583A7" w14:textId="04EF5BA7" w:rsidR="00880F35" w:rsidRPr="005B6ABC" w:rsidRDefault="00880F35" w:rsidP="00880F35">
        <w:pPr>
          <w:pStyle w:val="Footer"/>
          <w:framePr w:wrap="none" w:vAnchor="text" w:hAnchor="margin" w:xAlign="right" w:y="1"/>
          <w:rPr>
            <w:rStyle w:val="PageNumber"/>
            <w:rFonts w:cs="Arial"/>
            <w:b w:val="0"/>
            <w:bCs/>
            <w:color w:val="201C34"/>
          </w:rPr>
        </w:pPr>
        <w:r w:rsidRPr="005B6ABC">
          <w:rPr>
            <w:rStyle w:val="PageNumber"/>
            <w:rFonts w:cs="Arial"/>
            <w:b w:val="0"/>
            <w:bCs/>
            <w:color w:val="201C34"/>
          </w:rPr>
          <w:fldChar w:fldCharType="begin"/>
        </w:r>
        <w:r w:rsidRPr="005B6ABC">
          <w:rPr>
            <w:rStyle w:val="PageNumber"/>
            <w:rFonts w:cs="Arial"/>
            <w:b w:val="0"/>
            <w:bCs/>
            <w:color w:val="201C34"/>
          </w:rPr>
          <w:instrText xml:space="preserve"> PAGE </w:instrTex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separate"/>
        </w:r>
        <w:r w:rsidR="00DB7F55">
          <w:rPr>
            <w:rStyle w:val="PageNumber"/>
            <w:rFonts w:cs="Arial"/>
            <w:b w:val="0"/>
            <w:bCs/>
            <w:noProof/>
            <w:color w:val="201C34"/>
          </w:rPr>
          <w:t>1</w:t>
        </w:r>
        <w:r w:rsidRPr="005B6ABC">
          <w:rPr>
            <w:rStyle w:val="PageNumber"/>
            <w:rFonts w:cs="Arial"/>
            <w:b w:val="0"/>
            <w:bCs/>
            <w:color w:val="201C34"/>
          </w:rPr>
          <w:fldChar w:fldCharType="end"/>
        </w:r>
      </w:p>
    </w:sdtContent>
  </w:sdt>
  <w:p w14:paraId="5C8B37C3" w14:textId="799EF8C6" w:rsidR="00880F35" w:rsidRPr="00C31E6B" w:rsidRDefault="00880F35" w:rsidP="00567176">
    <w:pPr>
      <w:ind w:left="-1134" w:right="360"/>
      <w:jc w:val="both"/>
      <w:rPr>
        <w:rFonts w:cs="Arial"/>
        <w:b/>
        <w:bCs/>
        <w:color w:val="201C34"/>
      </w:rPr>
    </w:pPr>
  </w:p>
  <w:p w14:paraId="4C6EAA78" w14:textId="33EC27E5" w:rsidR="00880F35" w:rsidRPr="00A91DE8" w:rsidRDefault="00880F35" w:rsidP="00A91D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83DCF" w14:textId="77777777" w:rsidR="00880F35" w:rsidRDefault="00880F35" w:rsidP="00A91DE8">
      <w:r>
        <w:separator/>
      </w:r>
    </w:p>
  </w:footnote>
  <w:footnote w:type="continuationSeparator" w:id="0">
    <w:p w14:paraId="6AE5AB64" w14:textId="77777777" w:rsidR="00880F35" w:rsidRDefault="00880F35" w:rsidP="00A91D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A60730" w14:textId="2863D725" w:rsidR="00880F35" w:rsidRDefault="00880F35" w:rsidP="001B2246">
    <w:pPr>
      <w:pStyle w:val="Header"/>
      <w:tabs>
        <w:tab w:val="clear" w:pos="4320"/>
        <w:tab w:val="clear" w:pos="8640"/>
        <w:tab w:val="left" w:pos="8490"/>
      </w:tabs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035A54D8" wp14:editId="7A9BAF0B">
          <wp:simplePos x="0" y="0"/>
          <wp:positionH relativeFrom="page">
            <wp:posOffset>-58057</wp:posOffset>
          </wp:positionH>
          <wp:positionV relativeFrom="page">
            <wp:posOffset>0</wp:posOffset>
          </wp:positionV>
          <wp:extent cx="7654956" cy="1525905"/>
          <wp:effectExtent l="0" t="0" r="3175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654956" cy="1525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590192981"/>
        <w:docPartObj>
          <w:docPartGallery w:val="Watermarks"/>
          <w:docPartUnique/>
        </w:docPartObj>
      </w:sdtPr>
      <w:sdtEndPr/>
      <w:sdtContent/>
    </w:sdt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07E91"/>
    <w:multiLevelType w:val="multilevel"/>
    <w:tmpl w:val="F2A07FA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4A75BE9"/>
    <w:multiLevelType w:val="hybridMultilevel"/>
    <w:tmpl w:val="30EAD096"/>
    <w:lvl w:ilvl="0" w:tplc="C8B8BA32">
      <w:start w:val="1"/>
      <w:numFmt w:val="bullet"/>
      <w:pStyle w:val="Bulletpoint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78FA"/>
    <w:rsid w:val="000024EF"/>
    <w:rsid w:val="00045593"/>
    <w:rsid w:val="00064CDA"/>
    <w:rsid w:val="00092143"/>
    <w:rsid w:val="000A4EEA"/>
    <w:rsid w:val="000B4234"/>
    <w:rsid w:val="000F46A3"/>
    <w:rsid w:val="000F5C6E"/>
    <w:rsid w:val="00105B16"/>
    <w:rsid w:val="001519C6"/>
    <w:rsid w:val="0016635C"/>
    <w:rsid w:val="001713C9"/>
    <w:rsid w:val="001771D6"/>
    <w:rsid w:val="00190EFC"/>
    <w:rsid w:val="001B2246"/>
    <w:rsid w:val="001B33AA"/>
    <w:rsid w:val="001C0BA8"/>
    <w:rsid w:val="001C7422"/>
    <w:rsid w:val="001D000A"/>
    <w:rsid w:val="001E150A"/>
    <w:rsid w:val="001E6466"/>
    <w:rsid w:val="001F1A3B"/>
    <w:rsid w:val="00213E13"/>
    <w:rsid w:val="0023663D"/>
    <w:rsid w:val="002427B5"/>
    <w:rsid w:val="00245434"/>
    <w:rsid w:val="002B7CCB"/>
    <w:rsid w:val="002D6D7E"/>
    <w:rsid w:val="002E6728"/>
    <w:rsid w:val="002F474B"/>
    <w:rsid w:val="002F788F"/>
    <w:rsid w:val="00340307"/>
    <w:rsid w:val="003478FA"/>
    <w:rsid w:val="00391CEA"/>
    <w:rsid w:val="003947F0"/>
    <w:rsid w:val="003B21E8"/>
    <w:rsid w:val="003B4CC5"/>
    <w:rsid w:val="003F5EAE"/>
    <w:rsid w:val="0041486A"/>
    <w:rsid w:val="00421EC3"/>
    <w:rsid w:val="00432FE8"/>
    <w:rsid w:val="00477038"/>
    <w:rsid w:val="004A0EE0"/>
    <w:rsid w:val="004B3FE8"/>
    <w:rsid w:val="004C315C"/>
    <w:rsid w:val="004C7C83"/>
    <w:rsid w:val="004D7189"/>
    <w:rsid w:val="005111C2"/>
    <w:rsid w:val="00567176"/>
    <w:rsid w:val="00573B03"/>
    <w:rsid w:val="00586EAA"/>
    <w:rsid w:val="00592671"/>
    <w:rsid w:val="005B6ABC"/>
    <w:rsid w:val="005D7ECD"/>
    <w:rsid w:val="005F4FCD"/>
    <w:rsid w:val="00645656"/>
    <w:rsid w:val="006B31EC"/>
    <w:rsid w:val="006B5507"/>
    <w:rsid w:val="006C20AC"/>
    <w:rsid w:val="006D2914"/>
    <w:rsid w:val="006E6F2E"/>
    <w:rsid w:val="00710EE6"/>
    <w:rsid w:val="0072482D"/>
    <w:rsid w:val="007266B5"/>
    <w:rsid w:val="007439F0"/>
    <w:rsid w:val="007463E8"/>
    <w:rsid w:val="00763C49"/>
    <w:rsid w:val="007861C5"/>
    <w:rsid w:val="0078678F"/>
    <w:rsid w:val="00791D8E"/>
    <w:rsid w:val="00823150"/>
    <w:rsid w:val="008275D9"/>
    <w:rsid w:val="00843668"/>
    <w:rsid w:val="00874D7E"/>
    <w:rsid w:val="00880F35"/>
    <w:rsid w:val="009045A1"/>
    <w:rsid w:val="00934984"/>
    <w:rsid w:val="00945B3E"/>
    <w:rsid w:val="00977D2C"/>
    <w:rsid w:val="009B4FC0"/>
    <w:rsid w:val="009D2E78"/>
    <w:rsid w:val="009E6A5D"/>
    <w:rsid w:val="00A03D09"/>
    <w:rsid w:val="00A17525"/>
    <w:rsid w:val="00A657D0"/>
    <w:rsid w:val="00A91DE8"/>
    <w:rsid w:val="00A926C0"/>
    <w:rsid w:val="00AB695C"/>
    <w:rsid w:val="00B332F6"/>
    <w:rsid w:val="00B6544E"/>
    <w:rsid w:val="00BE2DCF"/>
    <w:rsid w:val="00BF19D1"/>
    <w:rsid w:val="00BF1DB9"/>
    <w:rsid w:val="00C04B04"/>
    <w:rsid w:val="00C072E4"/>
    <w:rsid w:val="00C2284F"/>
    <w:rsid w:val="00C31E6B"/>
    <w:rsid w:val="00C870B5"/>
    <w:rsid w:val="00C907CA"/>
    <w:rsid w:val="00CA6D29"/>
    <w:rsid w:val="00CB45B6"/>
    <w:rsid w:val="00CB639D"/>
    <w:rsid w:val="00CE6EAB"/>
    <w:rsid w:val="00D1705B"/>
    <w:rsid w:val="00D30B11"/>
    <w:rsid w:val="00D3218C"/>
    <w:rsid w:val="00D367B3"/>
    <w:rsid w:val="00D53C84"/>
    <w:rsid w:val="00D56C5D"/>
    <w:rsid w:val="00D82D8E"/>
    <w:rsid w:val="00D961BA"/>
    <w:rsid w:val="00DA1C9A"/>
    <w:rsid w:val="00DB7F55"/>
    <w:rsid w:val="00DB7FC0"/>
    <w:rsid w:val="00DC0CC3"/>
    <w:rsid w:val="00E01D80"/>
    <w:rsid w:val="00E315F6"/>
    <w:rsid w:val="00E719D5"/>
    <w:rsid w:val="00EA010D"/>
    <w:rsid w:val="00EA189C"/>
    <w:rsid w:val="00F17983"/>
    <w:rsid w:val="00F256E7"/>
    <w:rsid w:val="00F26B1A"/>
    <w:rsid w:val="00F824B8"/>
    <w:rsid w:val="00FE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."/>
  <w:listSeparator w:val=","/>
  <w14:docId w14:val="6898FC63"/>
  <w14:defaultImageDpi w14:val="300"/>
  <w15:docId w15:val="{2890C260-47F6-46DF-8A1C-F64313139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78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678F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78F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8F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8FA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HeaderChar">
    <w:name w:val="Header Char"/>
    <w:basedOn w:val="DefaultParagraphFont"/>
    <w:link w:val="Header"/>
    <w:uiPriority w:val="99"/>
    <w:rsid w:val="0078678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rsid w:val="0078678F"/>
    <w:pPr>
      <w:tabs>
        <w:tab w:val="center" w:pos="4320"/>
        <w:tab w:val="right" w:pos="8640"/>
      </w:tabs>
    </w:pPr>
    <w:rPr>
      <w:b/>
    </w:rPr>
  </w:style>
  <w:style w:type="character" w:customStyle="1" w:styleId="FooterChar">
    <w:name w:val="Footer Char"/>
    <w:basedOn w:val="DefaultParagraphFont"/>
    <w:link w:val="Footer"/>
    <w:uiPriority w:val="99"/>
    <w:rsid w:val="0078678F"/>
    <w:rPr>
      <w:rFonts w:ascii="Arial" w:hAnsi="Arial"/>
      <w:b/>
    </w:rPr>
  </w:style>
  <w:style w:type="character" w:styleId="Hyperlink">
    <w:name w:val="Hyperlink"/>
    <w:basedOn w:val="DefaultParagraphFont"/>
    <w:uiPriority w:val="99"/>
    <w:unhideWhenUsed/>
    <w:rsid w:val="0078678F"/>
    <w:rPr>
      <w:rFonts w:ascii="Arial" w:hAnsi="Arial"/>
      <w:b/>
      <w:i w:val="0"/>
      <w:color w:val="56B099"/>
      <w:u w:val="single"/>
    </w:rPr>
  </w:style>
  <w:style w:type="paragraph" w:styleId="ListParagraph">
    <w:name w:val="List Paragraph"/>
    <w:basedOn w:val="Normal"/>
    <w:uiPriority w:val="34"/>
    <w:qFormat/>
    <w:rsid w:val="0078678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NoSpacing">
    <w:name w:val="No Spacing"/>
    <w:uiPriority w:val="1"/>
    <w:qFormat/>
    <w:rsid w:val="0078678F"/>
    <w:rPr>
      <w:rFonts w:ascii="Arial" w:hAnsi="Arial"/>
    </w:rPr>
  </w:style>
  <w:style w:type="paragraph" w:customStyle="1" w:styleId="Body">
    <w:name w:val="Body"/>
    <w:rsid w:val="0078678F"/>
    <w:rPr>
      <w:rFonts w:ascii="Arial" w:eastAsia="Helvetica Neue" w:hAnsi="Arial" w:cs="Helvetica Neue"/>
      <w:color w:val="000000"/>
      <w:szCs w:val="22"/>
      <w:lang w:eastAsia="en-GB"/>
    </w:rPr>
  </w:style>
  <w:style w:type="paragraph" w:customStyle="1" w:styleId="Bulletpoints">
    <w:name w:val="Bullet points"/>
    <w:basedOn w:val="Normal"/>
    <w:qFormat/>
    <w:rsid w:val="0078678F"/>
    <w:pPr>
      <w:numPr>
        <w:numId w:val="2"/>
      </w:numPr>
      <w:spacing w:line="360" w:lineRule="auto"/>
    </w:pPr>
    <w:rPr>
      <w:rFonts w:cs="Arial"/>
    </w:rPr>
  </w:style>
  <w:style w:type="character" w:styleId="PageNumber">
    <w:name w:val="page number"/>
    <w:basedOn w:val="DefaultParagraphFont"/>
    <w:uiPriority w:val="99"/>
    <w:semiHidden/>
    <w:unhideWhenUsed/>
    <w:rsid w:val="00567176"/>
  </w:style>
  <w:style w:type="character" w:styleId="BookTitle">
    <w:name w:val="Book Title"/>
    <w:basedOn w:val="DefaultParagraphFont"/>
    <w:uiPriority w:val="33"/>
    <w:qFormat/>
    <w:rsid w:val="0078678F"/>
    <w:rPr>
      <w:rFonts w:ascii="Arial" w:hAnsi="Arial"/>
      <w:b w:val="0"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78678F"/>
    <w:rPr>
      <w:rFonts w:ascii="Arial" w:hAnsi="Arial"/>
      <w:b/>
      <w:bCs/>
      <w:i w:val="0"/>
      <w:smallCaps/>
      <w:color w:val="56B099"/>
      <w:spacing w:val="5"/>
    </w:rPr>
  </w:style>
  <w:style w:type="character" w:styleId="SubtleReference">
    <w:name w:val="Subtle Reference"/>
    <w:basedOn w:val="DefaultParagraphFont"/>
    <w:uiPriority w:val="31"/>
    <w:qFormat/>
    <w:rsid w:val="0078678F"/>
    <w:rPr>
      <w:rFonts w:ascii="Arial" w:hAnsi="Arial"/>
      <w:b/>
      <w:i w:val="0"/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78F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Cs/>
      <w:color w:val="56B099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78F"/>
    <w:rPr>
      <w:rFonts w:ascii="Arial" w:hAnsi="Arial"/>
      <w:iCs/>
      <w:color w:val="56B099"/>
    </w:rPr>
  </w:style>
  <w:style w:type="paragraph" w:styleId="Quote">
    <w:name w:val="Quote"/>
    <w:basedOn w:val="Normal"/>
    <w:next w:val="Normal"/>
    <w:link w:val="QuoteChar"/>
    <w:uiPriority w:val="29"/>
    <w:qFormat/>
    <w:rsid w:val="0078678F"/>
    <w:pPr>
      <w:spacing w:before="200" w:after="160"/>
      <w:ind w:left="864" w:right="864"/>
      <w:jc w:val="center"/>
    </w:pPr>
    <w:rPr>
      <w:b/>
      <w:i/>
      <w:iCs/>
      <w:color w:val="56B099"/>
    </w:rPr>
  </w:style>
  <w:style w:type="character" w:customStyle="1" w:styleId="QuoteChar">
    <w:name w:val="Quote Char"/>
    <w:basedOn w:val="DefaultParagraphFont"/>
    <w:link w:val="Quote"/>
    <w:uiPriority w:val="29"/>
    <w:rsid w:val="0078678F"/>
    <w:rPr>
      <w:rFonts w:ascii="Arial" w:hAnsi="Arial"/>
      <w:b/>
      <w:i/>
      <w:iCs/>
      <w:color w:val="56B099"/>
    </w:rPr>
  </w:style>
  <w:style w:type="character" w:styleId="Strong">
    <w:name w:val="Strong"/>
    <w:basedOn w:val="DefaultParagraphFont"/>
    <w:uiPriority w:val="22"/>
    <w:qFormat/>
    <w:rsid w:val="0078678F"/>
    <w:rPr>
      <w:rFonts w:ascii="Arial" w:hAnsi="Arial"/>
      <w:b/>
      <w:bCs/>
      <w:i w:val="0"/>
    </w:rPr>
  </w:style>
  <w:style w:type="paragraph" w:styleId="Title">
    <w:name w:val="Title"/>
    <w:basedOn w:val="Normal"/>
    <w:next w:val="Normal"/>
    <w:link w:val="TitleChar"/>
    <w:uiPriority w:val="10"/>
    <w:qFormat/>
    <w:rsid w:val="0078678F"/>
    <w:pPr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78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678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78F"/>
    <w:rPr>
      <w:rFonts w:ascii="Arial" w:eastAsiaTheme="majorEastAsia" w:hAnsi="Arial" w:cstheme="majorBidi"/>
      <w:b/>
      <w:color w:val="000000" w:themeColor="tex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9EC1A81-DFB4-4F4B-8F31-4417F1C27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Guild of Students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Karen Summers</dc:creator>
  <cp:lastModifiedBy>Harriet Berrington-Hughes</cp:lastModifiedBy>
  <cp:revision>5</cp:revision>
  <cp:lastPrinted>2016-04-14T14:32:00Z</cp:lastPrinted>
  <dcterms:created xsi:type="dcterms:W3CDTF">2024-12-17T14:21:00Z</dcterms:created>
  <dcterms:modified xsi:type="dcterms:W3CDTF">2024-12-17T14:32:00Z</dcterms:modified>
</cp:coreProperties>
</file>