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远程驾驶体验平台 · 加盟商招募与运营手册（框架）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版本说明</w:t>
            </w:r>
            <w:r>
              <w:rPr>
                <w:rFonts w:eastAsia="等线" w:ascii="Arial" w:cs="Arial" w:hAnsi="Arial"/>
                <w:sz w:val="22"/>
              </w:rPr>
              <w:t>：本手册为框架版V0.1，供首批加盟沟通使用。其中车辆成本、单场定价、分成与回本均为估算参考区间，最终以总部直营示范点实测数据校准后发布V1正式版。带"待定"字段由总部在V1版确认。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项目简介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平台定位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远程驾驶体验平台：用户通过手机、电脑或模拟驾驶硬件，远程驾驶部署在真实场地上的越野遥控模型赛车，体验"足不出户、随时出发"的探索驾驶与比赛乐趣。平台连接三端：</w:t>
      </w:r>
      <w:r>
        <w:rPr>
          <w:rFonts w:eastAsia="等线" w:ascii="Arial" w:cs="Arial" w:hAnsi="Arial"/>
          <w:b w:val="true"/>
          <w:sz w:val="22"/>
        </w:rPr>
        <w:t>加盟商</w:t>
      </w:r>
      <w:r>
        <w:rPr>
          <w:rFonts w:eastAsia="等线" w:ascii="Arial" w:cs="Arial" w:hAnsi="Arial"/>
          <w:sz w:val="22"/>
        </w:rPr>
        <w:t>提供场地与车辆，</w:t>
      </w:r>
      <w:r>
        <w:rPr>
          <w:rFonts w:eastAsia="等线" w:ascii="Arial" w:cs="Arial" w:hAnsi="Arial"/>
          <w:b w:val="true"/>
          <w:sz w:val="22"/>
        </w:rPr>
        <w:t>平台</w:t>
      </w:r>
      <w:r>
        <w:rPr>
          <w:rFonts w:eastAsia="等线" w:ascii="Arial" w:cs="Arial" w:hAnsi="Arial"/>
          <w:sz w:val="22"/>
        </w:rPr>
        <w:t>提供技术、内容、规则与订单，</w:t>
      </w:r>
      <w:r>
        <w:rPr>
          <w:rFonts w:eastAsia="等线" w:ascii="Arial" w:cs="Arial" w:hAnsi="Arial"/>
          <w:b w:val="true"/>
          <w:sz w:val="22"/>
        </w:rPr>
        <w:t>用户</w:t>
      </w:r>
      <w:r>
        <w:rPr>
          <w:rFonts w:eastAsia="等线" w:ascii="Arial" w:cs="Arial" w:hAnsi="Arial"/>
          <w:sz w:val="22"/>
        </w:rPr>
        <w:t>按次付费体验。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为什么值得加盟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需求基数大</w:t>
      </w:r>
      <w:r>
        <w:rPr>
          <w:rFonts w:eastAsia="等线" w:ascii="Arial" w:cs="Arial" w:hAnsi="Arial"/>
          <w:sz w:val="22"/>
        </w:rPr>
        <w:t>：截至2025年末中国60周岁及以上老年人口3.23亿，出行受限人群的"出门看看"需求为情感刚需；同时覆盖白领解压、亲子体验、玩家竞速等多类客群。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供给已验证</w:t>
      </w:r>
      <w:r>
        <w:rPr>
          <w:rFonts w:eastAsia="等线" w:ascii="Arial" w:cs="Arial" w:hAnsi="Arial"/>
          <w:sz w:val="22"/>
        </w:rPr>
        <w:t>：绍兴、张家界已落地远程无人机观光项目，证明"封闭场景远程驾驶+按次收费"可行。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投入低、回本快</w:t>
      </w:r>
      <w:r>
        <w:rPr>
          <w:rFonts w:eastAsia="等线" w:ascii="Arial" w:cs="Arial" w:hAnsi="Arial"/>
          <w:sz w:val="22"/>
        </w:rPr>
        <w:t>：认证越野RC车自带电池与图传，无需场地供电布线；单店回本估算约1-4个月（基准约1.5个月）。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轻运营</w:t>
      </w:r>
      <w:r>
        <w:rPr>
          <w:rFonts w:eastAsia="等线" w:ascii="Arial" w:cs="Arial" w:hAnsi="Arial"/>
          <w:sz w:val="22"/>
        </w:rPr>
        <w:t>：核心运营动作只剩充电、换电池与易损件维护，其余（技术、计费、赛事、内容）由平台承担。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加盟商形态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2955"/>
        <w:gridCol w:w="355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场地要求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适合对象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C类（主）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承包或自有闲置地形：田园、森林、竹林、草原、沙地等，可形成闭环行车道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拥有闲置土地或自然地形资源的个人/经营者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B类（辅）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自有场地，自行设计微缩沙盘赛道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沙盘模型爱好者、创意场地经营者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来源：总部加盟体系设计｜口径：形态定位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加盟条件与资质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统一加盟条件（两条）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4440"/>
        <w:gridCol w:w="207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有场地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自有或可长期承包的场地，能形成闭环行车道，场地内无公共道路穿行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面积不限，车辆续航内可覆盖即可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有车辆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购买平台认证越野RC车不少于10台，并负责日常维护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车辆为生产工具，维护水平直接决定收入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来源：总部加盟条件定义｜口径：统一标准，不区分形态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场地基本要求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地形不影响遥控车行驶（避免深水、陡坑、密丛等不可通行区域），可行驶范围能构成首尾相接的闭环路线；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场地内4G/5G信号可覆盖闭环全程（车载图传随车移动，无需场地布线）；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具备车辆停车、充电条件（简单电源即可）；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危险段设置物理围挡，平台提供电子围栏配置（超界自动停车）。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启动投入（估算）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10台车标准配置与预算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2655"/>
        <w:gridCol w:w="2070"/>
        <w:gridCol w:w="177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参考车型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单台车价（估算）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建议数量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入门档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北京吉普212型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1500-2500元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3台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中档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切诺基型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2500-4000元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4台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高档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高性能/大脚车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4000元以上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3台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来源：总部车辆认证标准（估算）｜单位：元｜口径：车价含图传套件改装，最终以认证清单为准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投入与回本预期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2955"/>
        <w:gridCol w:w="2370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金额（估算）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车辆（10台）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2-4万元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按分档配比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图传套件/备用件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0.5-1万元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平台统一供应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简易场地改造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0.3-0.8万元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围挡/停车点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合计启动投入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约3-6万元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视场地条件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来源：总部财务估算｜单位：元｜口径：估算区间，需试点校准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回本预期（估算）：保守情景约4个月，基准约1.5个月，乐观约1个月。实际以客流与定价为准。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收入与分成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定价机制</w:t>
      </w:r>
      <w:bookmarkEnd w:id="1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加盟商自主定价</w:t>
      </w:r>
      <w:r>
        <w:rPr>
          <w:rFonts w:eastAsia="等线" w:ascii="Arial" w:cs="Arial" w:hAnsi="Arial"/>
          <w:sz w:val="22"/>
        </w:rPr>
        <w:t>：按车辆档次、场地热度、时段自主制定单场价格，报平台审核；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平台审核</w:t>
      </w:r>
      <w:r>
        <w:rPr>
          <w:rFonts w:eastAsia="等线" w:ascii="Arial" w:cs="Arial" w:hAnsi="Arial"/>
          <w:sz w:val="22"/>
        </w:rPr>
        <w:t>：设定参考价±30%上下限，防止恶性低价与天价宰客；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市场调节</w:t>
      </w:r>
      <w:r>
        <w:rPr>
          <w:rFonts w:eastAsia="等线" w:ascii="Arial" w:cs="Arial" w:hAnsi="Arial"/>
          <w:sz w:val="22"/>
        </w:rPr>
        <w:t>：热门场地可溢价，偏门场地可低价引流，由供需决定。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单场定价参考（示例估算）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2700"/>
        <w:gridCol w:w="24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单场时长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单场参考价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入门档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10-20元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中档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20-35元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高档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35-60元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来源：总部定价参考（估算）｜单位：元/场｜口径：加盟商自主定价，平台审核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分成比例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2955"/>
        <w:gridCol w:w="2370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加盟商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用户付费的70-80%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按次实时结算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20-30%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覆盖技术、内容、赛事、渠道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来源：总部分成方案（估算，试点校准）｜口径：按用户付费总额比例分成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接入流程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从申请到开业共6步，每步含可观察判据：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提交申请</w:t>
      </w:r>
      <w:r>
        <w:rPr>
          <w:rFonts w:eastAsia="等线" w:ascii="Arial" w:cs="Arial" w:hAnsi="Arial"/>
          <w:sz w:val="22"/>
        </w:rPr>
        <w:t>：提交场地信息（位置、地形类型、面积、照片/视频）。判据：场地在平台支持地形范围内。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场地评估</w:t>
      </w:r>
      <w:r>
        <w:rPr>
          <w:rFonts w:eastAsia="等线" w:ascii="Arial" w:cs="Arial" w:hAnsi="Arial"/>
          <w:sz w:val="22"/>
        </w:rPr>
        <w:t>：总部远程评估闭环车道可行性、信号条件与安全边界。判据：评估结论为"通过"或"改造后通过"。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购车改装</w:t>
      </w:r>
      <w:r>
        <w:rPr>
          <w:rFonts w:eastAsia="等线" w:ascii="Arial" w:cs="Arial" w:hAnsi="Arial"/>
          <w:sz w:val="22"/>
        </w:rPr>
        <w:t>：按认证清单采购不少于10台分档车，平台提供图传套件与改装指引。判据：车辆加装GPS与摄像头后通过自检。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边界绘制</w:t>
      </w:r>
      <w:r>
        <w:rPr>
          <w:rFonts w:eastAsia="等线" w:ascii="Arial" w:cs="Arial" w:hAnsi="Arial"/>
          <w:sz w:val="22"/>
        </w:rPr>
        <w:t>：使用平台App沿场地边界驾驶一圈，GPS轨迹自动生成电子围栏。判据：围栏闭合且覆盖可行驶区域。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上线审核</w:t>
      </w:r>
      <w:r>
        <w:rPr>
          <w:rFonts w:eastAsia="等线" w:ascii="Arial" w:cs="Arial" w:hAnsi="Arial"/>
          <w:sz w:val="22"/>
        </w:rPr>
        <w:t>：平台核验边界闭合、信号覆盖、车辆在线状态与定价报备。判据：审核通过，生成场景展示页。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开业运营</w:t>
      </w:r>
      <w:r>
        <w:rPr>
          <w:rFonts w:eastAsia="等线" w:ascii="Arial" w:cs="Arial" w:hAnsi="Arial"/>
          <w:sz w:val="22"/>
        </w:rPr>
        <w:t>：完成总部培训（操作、维护、异常处理），开始接单。判据：首场付费订单完成。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日常运营SOP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每日动作</w:t>
      </w:r>
      <w:bookmarkEnd w:id="1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车辆充电检查：确认10台车电量充足、可正常上线（判据：平台后台全部显示"在线"）；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出车前巡检：轮胎、悬挂、图传画面、GPS信号（判据：试驾1分钟画面清晰、响应正常）；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营业期间：保持车辆可预约，处理订单与用户问题；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收车：车辆归位、充电、记录异常。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车辆维护标准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2955"/>
        <w:gridCol w:w="265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轮胎/悬挂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每10-20场检查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磨损严重即更换（易损件）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电池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每次使用后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充电并记录健康度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图传/GPS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每次出车前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信号异常即检修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整车深度检查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按总部维护清单执行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来源：总部维护SOP草案｜口径：以认证车型实际损耗校准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在线时长机制（核心）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车辆在线可驾驶时长是加盟商的收入决定因素：维护越好，在线时长越高，接单越多，收入越高；维护差则在线低、收入低，自然淘汰。平台以收入机制代替总部驻场监督，加盟商为自己的经营结果负责。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异常处理</w:t>
      </w:r>
      <w:bookmarkEnd w:id="1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车辆故障</w:t>
      </w:r>
      <w:r>
        <w:rPr>
          <w:rFonts w:eastAsia="等线" w:ascii="Arial" w:cs="Arial" w:hAnsi="Arial"/>
          <w:sz w:val="22"/>
        </w:rPr>
        <w:t>：立即下线该车，启动备用车（10台中有余量），按维护指引检修；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图传掉线</w:t>
      </w:r>
      <w:r>
        <w:rPr>
          <w:rFonts w:eastAsia="等线" w:ascii="Arial" w:cs="Arial" w:hAnsi="Arial"/>
          <w:sz w:val="22"/>
        </w:rPr>
        <w:t>：暂停该车接单，检查信号与设备，恢复后试驾确认；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用户纠纷</w:t>
      </w:r>
      <w:r>
        <w:rPr>
          <w:rFonts w:eastAsia="等线" w:ascii="Arial" w:cs="Arial" w:hAnsi="Arial"/>
          <w:sz w:val="22"/>
        </w:rPr>
        <w:t>：按平台客诉流程处理，涉及车辆损坏由平台保险池统一赔付（重大损坏）；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安全事件</w:t>
      </w:r>
      <w:r>
        <w:rPr>
          <w:rFonts w:eastAsia="等线" w:ascii="Arial" w:cs="Arial" w:hAnsi="Arial"/>
          <w:sz w:val="22"/>
        </w:rPr>
        <w:t>：车辆冲出电子围栏自动停车，现场人员回收并排查原因。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赛事与用户运营</w:t>
      </w:r>
      <w:bookmarkEnd w:id="2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双人比赛局</w:t>
      </w:r>
      <w:r>
        <w:rPr>
          <w:rFonts w:eastAsia="等线" w:ascii="Arial" w:cs="Arial" w:hAnsi="Arial"/>
          <w:sz w:val="22"/>
        </w:rPr>
        <w:t>：用户自组织，2人即开；加盟商有2台以上空车即可承接，比赛软件自动完成倒计时、计时与排名；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计费</w:t>
      </w:r>
      <w:r>
        <w:rPr>
          <w:rFonts w:eastAsia="等线" w:ascii="Arial" w:cs="Arial" w:hAnsi="Arial"/>
          <w:sz w:val="22"/>
        </w:rPr>
        <w:t>：比赛局按人收取，双人双倍收入；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</w:t>
      </w:r>
      <w:r>
        <w:rPr>
          <w:rFonts w:eastAsia="等线" w:ascii="Arial" w:cs="Arial" w:hAnsi="Arial"/>
          <w:sz w:val="22"/>
        </w:rPr>
        <w:t>：比赛战绩沉淀为用户积分与排行榜，带动复购与拉新；加盟商可配合总部举办场地赛事吸引客流。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责任与合规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3555"/>
        <w:gridCol w:w="1770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责任界定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承担方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车辆自然损耗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轮胎、电池等日常损耗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加盟商（平台供备件）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远程驾驶重大损坏/丢失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按次计提保险池统一赔付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场地安全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物理围挡、电子围栏落地与维护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加盟商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合规模板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场地资质、设备保险、用户协议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平台统一提供并审查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来源：总部责任划分方案｜口径：以正式加盟协议为准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重要合规边界：真实远程驾驶限定封闭/半封闭场地，不得涉及公共道路；加盟商不得自行开展未经平台审查的运营方式。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附则</w:t>
      </w:r>
      <w:bookmarkEnd w:id="2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本手册为框架版V0.1，适用于首批加盟沟通与意向确认；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认证车型清单、图传套件价格、定价上下限、分成比例等以总部V1正式版（示范点数据校准后）为准；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正式加盟以双方签署的加盟协议为准，本手册不构成合同承诺；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联系与申请渠道：待定。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7080">
    <w:lvl>
      <w:numFmt w:val="bullet"/>
      <w:suff w:val="tab"/>
      <w:lvlText w:val="•"/>
      <w:rPr>
        <w:color w:val="3370ff"/>
      </w:rPr>
    </w:lvl>
  </w:abstractNum>
  <w:abstractNum w:abstractNumId="1237081">
    <w:lvl>
      <w:numFmt w:val="bullet"/>
      <w:suff w:val="tab"/>
      <w:lvlText w:val="•"/>
      <w:rPr>
        <w:color w:val="3370ff"/>
      </w:rPr>
    </w:lvl>
  </w:abstractNum>
  <w:abstractNum w:abstractNumId="1237082">
    <w:lvl>
      <w:numFmt w:val="bullet"/>
      <w:suff w:val="tab"/>
      <w:lvlText w:val="•"/>
      <w:rPr>
        <w:color w:val="3370ff"/>
      </w:rPr>
    </w:lvl>
  </w:abstractNum>
  <w:abstractNum w:abstractNumId="1237083">
    <w:lvl>
      <w:numFmt w:val="bullet"/>
      <w:suff w:val="tab"/>
      <w:lvlText w:val="•"/>
      <w:rPr>
        <w:color w:val="3370ff"/>
      </w:rPr>
    </w:lvl>
  </w:abstractNum>
  <w:abstractNum w:abstractNumId="1237084">
    <w:lvl>
      <w:numFmt w:val="bullet"/>
      <w:suff w:val="tab"/>
      <w:lvlText w:val="•"/>
      <w:rPr>
        <w:color w:val="3370ff"/>
      </w:rPr>
    </w:lvl>
  </w:abstractNum>
  <w:abstractNum w:abstractNumId="1237085">
    <w:lvl>
      <w:numFmt w:val="bullet"/>
      <w:suff w:val="tab"/>
      <w:lvlText w:val="•"/>
      <w:rPr>
        <w:color w:val="3370ff"/>
      </w:rPr>
    </w:lvl>
  </w:abstractNum>
  <w:abstractNum w:abstractNumId="1237086">
    <w:lvl>
      <w:numFmt w:val="bullet"/>
      <w:suff w:val="tab"/>
      <w:lvlText w:val="•"/>
      <w:rPr>
        <w:color w:val="3370ff"/>
      </w:rPr>
    </w:lvl>
  </w:abstractNum>
  <w:abstractNum w:abstractNumId="1237087">
    <w:lvl>
      <w:numFmt w:val="bullet"/>
      <w:suff w:val="tab"/>
      <w:lvlText w:val="•"/>
      <w:rPr>
        <w:color w:val="3370ff"/>
      </w:rPr>
    </w:lvl>
  </w:abstractNum>
  <w:abstractNum w:abstractNumId="1237088">
    <w:lvl>
      <w:numFmt w:val="bullet"/>
      <w:suff w:val="tab"/>
      <w:lvlText w:val="•"/>
      <w:rPr>
        <w:color w:val="3370ff"/>
      </w:rPr>
    </w:lvl>
  </w:abstractNum>
  <w:abstractNum w:abstractNumId="1237089">
    <w:lvl>
      <w:numFmt w:val="bullet"/>
      <w:suff w:val="tab"/>
      <w:lvlText w:val="•"/>
      <w:rPr>
        <w:color w:val="3370ff"/>
      </w:rPr>
    </w:lvl>
  </w:abstractNum>
  <w:abstractNum w:abstractNumId="1237090">
    <w:lvl>
      <w:numFmt w:val="bullet"/>
      <w:suff w:val="tab"/>
      <w:lvlText w:val="•"/>
      <w:rPr>
        <w:color w:val="3370ff"/>
      </w:rPr>
    </w:lvl>
  </w:abstractNum>
  <w:abstractNum w:abstractNumId="1237091">
    <w:lvl>
      <w:start w:val="1"/>
      <w:numFmt w:val="decimal"/>
      <w:suff w:val="tab"/>
      <w:lvlText w:val="%1."/>
      <w:rPr>
        <w:color w:val="3370ff"/>
      </w:rPr>
    </w:lvl>
  </w:abstractNum>
  <w:abstractNum w:abstractNumId="1237092">
    <w:lvl>
      <w:start w:val="2"/>
      <w:numFmt w:val="decimal"/>
      <w:suff w:val="tab"/>
      <w:lvlText w:val="%1."/>
      <w:rPr>
        <w:color w:val="3370ff"/>
      </w:rPr>
    </w:lvl>
  </w:abstractNum>
  <w:abstractNum w:abstractNumId="1237093">
    <w:lvl>
      <w:start w:val="3"/>
      <w:numFmt w:val="decimal"/>
      <w:suff w:val="tab"/>
      <w:lvlText w:val="%1."/>
      <w:rPr>
        <w:color w:val="3370ff"/>
      </w:rPr>
    </w:lvl>
  </w:abstractNum>
  <w:abstractNum w:abstractNumId="1237094">
    <w:lvl>
      <w:start w:val="4"/>
      <w:numFmt w:val="decimal"/>
      <w:suff w:val="tab"/>
      <w:lvlText w:val="%1."/>
      <w:rPr>
        <w:color w:val="3370ff"/>
      </w:rPr>
    </w:lvl>
  </w:abstractNum>
  <w:abstractNum w:abstractNumId="1237095">
    <w:lvl>
      <w:start w:val="5"/>
      <w:numFmt w:val="decimal"/>
      <w:suff w:val="tab"/>
      <w:lvlText w:val="%1."/>
      <w:rPr>
        <w:color w:val="3370ff"/>
      </w:rPr>
    </w:lvl>
  </w:abstractNum>
  <w:abstractNum w:abstractNumId="1237096">
    <w:lvl>
      <w:start w:val="6"/>
      <w:numFmt w:val="decimal"/>
      <w:suff w:val="tab"/>
      <w:lvlText w:val="%1."/>
      <w:rPr>
        <w:color w:val="3370ff"/>
      </w:rPr>
    </w:lvl>
  </w:abstractNum>
  <w:abstractNum w:abstractNumId="1237097">
    <w:lvl>
      <w:start w:val="1"/>
      <w:numFmt w:val="decimal"/>
      <w:suff w:val="tab"/>
      <w:lvlText w:val="%1."/>
      <w:rPr>
        <w:color w:val="3370ff"/>
      </w:rPr>
    </w:lvl>
  </w:abstractNum>
  <w:abstractNum w:abstractNumId="1237098">
    <w:lvl>
      <w:start w:val="2"/>
      <w:numFmt w:val="decimal"/>
      <w:suff w:val="tab"/>
      <w:lvlText w:val="%1."/>
      <w:rPr>
        <w:color w:val="3370ff"/>
      </w:rPr>
    </w:lvl>
  </w:abstractNum>
  <w:abstractNum w:abstractNumId="1237099">
    <w:lvl>
      <w:start w:val="3"/>
      <w:numFmt w:val="decimal"/>
      <w:suff w:val="tab"/>
      <w:lvlText w:val="%1."/>
      <w:rPr>
        <w:color w:val="3370ff"/>
      </w:rPr>
    </w:lvl>
  </w:abstractNum>
  <w:abstractNum w:abstractNumId="1237100">
    <w:lvl>
      <w:start w:val="4"/>
      <w:numFmt w:val="decimal"/>
      <w:suff w:val="tab"/>
      <w:lvlText w:val="%1."/>
      <w:rPr>
        <w:color w:val="3370ff"/>
      </w:rPr>
    </w:lvl>
  </w:abstractNum>
  <w:abstractNum w:abstractNumId="1237101">
    <w:lvl>
      <w:numFmt w:val="bullet"/>
      <w:suff w:val="tab"/>
      <w:lvlText w:val="•"/>
      <w:rPr>
        <w:color w:val="3370ff"/>
      </w:rPr>
    </w:lvl>
  </w:abstractNum>
  <w:abstractNum w:abstractNumId="1237102">
    <w:lvl>
      <w:numFmt w:val="bullet"/>
      <w:suff w:val="tab"/>
      <w:lvlText w:val="•"/>
      <w:rPr>
        <w:color w:val="3370ff"/>
      </w:rPr>
    </w:lvl>
  </w:abstractNum>
  <w:abstractNum w:abstractNumId="1237103">
    <w:lvl>
      <w:numFmt w:val="bullet"/>
      <w:suff w:val="tab"/>
      <w:lvlText w:val="•"/>
      <w:rPr>
        <w:color w:val="3370ff"/>
      </w:rPr>
    </w:lvl>
  </w:abstractNum>
  <w:abstractNum w:abstractNumId="1237104">
    <w:lvl>
      <w:numFmt w:val="bullet"/>
      <w:suff w:val="tab"/>
      <w:lvlText w:val="•"/>
      <w:rPr>
        <w:color w:val="3370ff"/>
      </w:rPr>
    </w:lvl>
  </w:abstractNum>
  <w:abstractNum w:abstractNumId="1237105">
    <w:lvl>
      <w:numFmt w:val="bullet"/>
      <w:suff w:val="tab"/>
      <w:lvlText w:val="•"/>
      <w:rPr>
        <w:color w:val="3370ff"/>
      </w:rPr>
    </w:lvl>
  </w:abstractNum>
  <w:abstractNum w:abstractNumId="1237106">
    <w:lvl>
      <w:numFmt w:val="bullet"/>
      <w:suff w:val="tab"/>
      <w:lvlText w:val="•"/>
      <w:rPr>
        <w:color w:val="3370ff"/>
      </w:rPr>
    </w:lvl>
  </w:abstractNum>
  <w:abstractNum w:abstractNumId="1237107">
    <w:lvl>
      <w:numFmt w:val="bullet"/>
      <w:suff w:val="tab"/>
      <w:lvlText w:val="•"/>
      <w:rPr>
        <w:color w:val="3370ff"/>
      </w:rPr>
    </w:lvl>
  </w:abstractNum>
  <w:abstractNum w:abstractNumId="1237108">
    <w:lvl>
      <w:numFmt w:val="bullet"/>
      <w:suff w:val="tab"/>
      <w:lvlText w:val="•"/>
      <w:rPr>
        <w:color w:val="3370ff"/>
      </w:rPr>
    </w:lvl>
  </w:abstractNum>
  <w:abstractNum w:abstractNumId="1237109">
    <w:lvl>
      <w:numFmt w:val="bullet"/>
      <w:suff w:val="tab"/>
      <w:lvlText w:val="•"/>
      <w:rPr>
        <w:color w:val="3370ff"/>
      </w:rPr>
    </w:lvl>
  </w:abstractNum>
  <w:abstractNum w:abstractNumId="1237110">
    <w:lvl>
      <w:numFmt w:val="bullet"/>
      <w:suff w:val="tab"/>
      <w:lvlText w:val="•"/>
      <w:rPr>
        <w:color w:val="3370ff"/>
      </w:rPr>
    </w:lvl>
  </w:abstractNum>
  <w:abstractNum w:abstractNumId="1237111">
    <w:lvl>
      <w:numFmt w:val="bullet"/>
      <w:suff w:val="tab"/>
      <w:lvlText w:val="•"/>
      <w:rPr>
        <w:color w:val="3370ff"/>
      </w:rPr>
    </w:lvl>
  </w:abstractNum>
  <w:num w:numId="1">
    <w:abstractNumId w:val="1237080"/>
  </w:num>
  <w:num w:numId="2">
    <w:abstractNumId w:val="1237081"/>
  </w:num>
  <w:num w:numId="3">
    <w:abstractNumId w:val="1237082"/>
  </w:num>
  <w:num w:numId="4">
    <w:abstractNumId w:val="1237083"/>
  </w:num>
  <w:num w:numId="5">
    <w:abstractNumId w:val="1237084"/>
  </w:num>
  <w:num w:numId="6">
    <w:abstractNumId w:val="1237085"/>
  </w:num>
  <w:num w:numId="7">
    <w:abstractNumId w:val="1237086"/>
  </w:num>
  <w:num w:numId="8">
    <w:abstractNumId w:val="1237087"/>
  </w:num>
  <w:num w:numId="9">
    <w:abstractNumId w:val="1237088"/>
  </w:num>
  <w:num w:numId="10">
    <w:abstractNumId w:val="1237089"/>
  </w:num>
  <w:num w:numId="11">
    <w:abstractNumId w:val="1237090"/>
  </w:num>
  <w:num w:numId="12">
    <w:abstractNumId w:val="1237091"/>
  </w:num>
  <w:num w:numId="13">
    <w:abstractNumId w:val="1237092"/>
  </w:num>
  <w:num w:numId="14">
    <w:abstractNumId w:val="1237093"/>
  </w:num>
  <w:num w:numId="15">
    <w:abstractNumId w:val="1237094"/>
  </w:num>
  <w:num w:numId="16">
    <w:abstractNumId w:val="1237095"/>
  </w:num>
  <w:num w:numId="17">
    <w:abstractNumId w:val="1237096"/>
  </w:num>
  <w:num w:numId="18">
    <w:abstractNumId w:val="1237097"/>
  </w:num>
  <w:num w:numId="19">
    <w:abstractNumId w:val="1237098"/>
  </w:num>
  <w:num w:numId="20">
    <w:abstractNumId w:val="1237099"/>
  </w:num>
  <w:num w:numId="21">
    <w:abstractNumId w:val="1237100"/>
  </w:num>
  <w:num w:numId="22">
    <w:abstractNumId w:val="1237101"/>
  </w:num>
  <w:num w:numId="23">
    <w:abstractNumId w:val="1237102"/>
  </w:num>
  <w:num w:numId="24">
    <w:abstractNumId w:val="1237103"/>
  </w:num>
  <w:num w:numId="25">
    <w:abstractNumId w:val="1237104"/>
  </w:num>
  <w:num w:numId="26">
    <w:abstractNumId w:val="1237105"/>
  </w:num>
  <w:num w:numId="27">
    <w:abstractNumId w:val="1237106"/>
  </w:num>
  <w:num w:numId="28">
    <w:abstractNumId w:val="1237107"/>
  </w:num>
  <w:num w:numId="29">
    <w:abstractNumId w:val="1237108"/>
  </w:num>
  <w:num w:numId="30">
    <w:abstractNumId w:val="1237109"/>
  </w:num>
  <w:num w:numId="31">
    <w:abstractNumId w:val="1237110"/>
  </w:num>
  <w:num w:numId="32">
    <w:abstractNumId w:val="12371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2026-09-05T13:45:17Z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{"Label":"1","ContentProducer":"001191110102MACQD9K64010000","ProduceID":"7682046805718813898","ReservedCode1":"","ContentPropagator":"","PropagateID":"","ReservedCode2":""}</vt:lpwstr>
  </property>
</Properties>
</file>