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远程驾驶体验平台 · 商业计划书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执行判断：建议推进</w:t>
            </w:r>
            <w:r>
              <w:rPr>
                <w:rFonts w:eastAsia="等线" w:ascii="Arial" w:cs="Arial" w:hAnsi="Arial"/>
                <w:sz w:val="22"/>
              </w:rPr>
              <w:t>。按"直营示范点验证单店模型 → 首批3-5家加盟试点 → 分级复制"三步实施。核心依据：截至2025年末中国60周岁及以上老年人口3.23亿（占总人口23%），出行受限人群基数庞大；绍兴、张家界已落地远程无人机观光项目，真实远程供给路径得到验证；单店经济模型估算回本周期约1-4个月（基准约1.5个月）。主要约束：全部财务数字为估算假设，须以直营示范点实际数据校准；真实远程载体须限定封闭场地，不得涉及公共道路。优先动作：4周内完成示范点建设并跑通首场付费试驾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执行摘要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计划书提出构建"远程驾驶体验平台"：用户通过手机、电脑或模拟驾驶硬件，远程驾驶部署在全国各地真实场地（闲置地形、沙盘）上的越野遥控模型赛车，以"黑暗森林"探索与自组织比赛为核心玩法，实现"足不出户、随时出发"的驾驶与出行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项目以</w:t>
      </w:r>
      <w:r>
        <w:rPr>
          <w:rFonts w:eastAsia="等线" w:ascii="Arial" w:cs="Arial" w:hAnsi="Arial"/>
          <w:sz w:val="22"/>
          <w:u w:val="single"/>
        </w:rPr>
        <w:t>闲置地形资源 + 轻资产加盟 + 多客群需求</w:t>
      </w:r>
      <w:r>
        <w:rPr>
          <w:rFonts w:eastAsia="等线" w:ascii="Arial" w:cs="Arial" w:hAnsi="Arial"/>
          <w:sz w:val="22"/>
        </w:rPr>
        <w:t>为支点：加盟商自带闲置场地与不少于10台分档越野RC车，平台输出内容、技术、规则与品牌。平台收入分为四线：使用分成、加盟相关、硬件增值、模型商城，前两者为启动期主体。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本计划书的数据口径：人口与先例数据来自公开权威来源（见文末资料来源）；单店经济模型与收入结构为估算与预测假设，标注"估算"或"预测"，须经直营试点校准后方可用于投资决策。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结论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当前应推进至"直营示范点"阶段，不建议在单店模型验证前大规模开放加盟。理由与依据如下：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需求端成立</w:t>
      </w:r>
      <w:r>
        <w:rPr>
          <w:rFonts w:eastAsia="等线" w:ascii="Arial" w:cs="Arial" w:hAnsi="Arial"/>
          <w:sz w:val="22"/>
        </w:rPr>
        <w:t>：3.23亿老年人口中大量人群行动受限、无法远行或已不再驾车，"想开车出门看看"为存量情感刚需；日本养老院VR旅行已成为常态化服务并被证实有心理疗愈效果。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供给路径已验证</w:t>
      </w:r>
      <w:r>
        <w:rPr>
          <w:rFonts w:eastAsia="等线" w:ascii="Arial" w:cs="Arial" w:hAnsi="Arial"/>
          <w:sz w:val="22"/>
        </w:rPr>
        <w:t>：国内已有远程操控无人机旅游（绍兴、张家界）与景区无人观光车运营先例，证明"封闭场景远程驾驶+按次收费"商业模式可行。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单位经济待验证</w:t>
      </w:r>
      <w:r>
        <w:rPr>
          <w:rFonts w:eastAsia="等线" w:ascii="Arial" w:cs="Arial" w:hAnsi="Arial"/>
          <w:sz w:val="22"/>
        </w:rPr>
        <w:t>：单店模型（10台车、回本约1-4个月）为估算，首月试点数据决定加盟手册与扩张节奏。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关键约束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全部财务数字为估算/预测，未经验证前不得用于对外融资承诺。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真实远程驾驶须限定封闭场地（景区、自有场地、承包地形），不得在公共道路行驶；无人机类载体须遵守空域管理法规。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加盟商管理风险（报告原风险项）通过"在线时长决定收入"机制化解，而非总部驻场管理。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行动清单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第1-2周：确定认证车型与图传套件选型，完成车辆采购与改装。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第3-4周：建设首个直营示范点，跑通"远程驾驶→计费→分成"全链路。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第1-3个月：招募并试运营首批3-5家加盟商（优先自带场地资源的C类）。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第4-6个月：依据试点数据校准单店模型，形成加盟手册V2并分级复制。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市场机会与需求验证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需求基数：出行受限人群是基本盘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项目最初的调研对象为"远程遥控玩具车竞速"，市场热度仅20/100、月搜索量约500，属于小众市场。经重新定位，本项目面向的真实需求是"</w:t>
      </w:r>
      <w:r>
        <w:rPr>
          <w:rFonts w:eastAsia="等线" w:ascii="Arial" w:cs="Arial" w:hAnsi="Arial"/>
          <w:b w:val="true"/>
          <w:sz w:val="22"/>
        </w:rPr>
        <w:t>想出门、想驾驶，但受制于时间、身体、能力或门槛</w:t>
      </w:r>
      <w:r>
        <w:rPr>
          <w:rFonts w:eastAsia="等线" w:ascii="Arial" w:cs="Arial" w:hAnsi="Arial"/>
          <w:sz w:val="22"/>
        </w:rPr>
        <w:t>"的人群，市场规模与情感强度完全不同。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民政部、全国老龄办发布的《2025年度国家老龄事业发展公报》，截至2025年末，中国60周岁及以上老年人口32338万人，占总人口23%；65周岁及以上22365万人，占15.9%；老年人口抚养比升至23.1%。该基数中，失能半失能、行动受限、无法远行或已不再驾车的群体规模达数千万级，构成项目的核心情感刚需客群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来源：民政部/全国老龄办《2025年度国家老龄事业发展公报》、国家统计局｜期间：截至2025年末｜单位：万人｜口径：60周岁及以上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海外先例验证了"虚拟出行"的心理价值：日本养老院VR旅行已成为常态服务，轮椅老人看到旧地时激动到站立；日本东北大学"Memory Town"怀旧VR项目获Google.org 100万美元资助用于失智预防；临床研究显示沉浸式怀旧可显著降低高龄老人焦虑（STAI评分自36.1降至26.8）。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来源：Insta360企业博客（日本养老院VR旅行）、PMC文献、PANORA｜期间：2023-2025｜口径：公开报道与临床研究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供给路径已在国内验证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本项目"真实远程驾驶"依赖的核心能力（低延迟图传+远程操控+按次计费）已有多地落地：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绍兴古城"千里云端"</w:t>
      </w:r>
      <w:r>
        <w:rPr>
          <w:rFonts w:eastAsia="等线" w:ascii="Arial" w:cs="Arial" w:hAnsi="Arial"/>
          <w:sz w:val="22"/>
        </w:rPr>
        <w:t>：用户无需到场、无需飞手证件，通过手机远程实时操控部署在景区的航拍设备，覆盖书圣故里等核心区域（2026年6月报道）。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张家界全景无人机观光</w:t>
      </w:r>
      <w:r>
        <w:rPr>
          <w:rFonts w:eastAsia="等线" w:ascii="Arial" w:cs="Arial" w:hAnsi="Arial"/>
          <w:sz w:val="22"/>
        </w:rPr>
        <w:t>：游客佩戴VR眼镜以第一视角操控无人机穿越峰林，配合"虚拟座舱"功能（2025年12月）。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牛首山等景区无人观光车</w:t>
      </w:r>
      <w:r>
        <w:rPr>
          <w:rFonts w:eastAsia="等线" w:ascii="Arial" w:cs="Arial" w:hAnsi="Arial"/>
          <w:sz w:val="22"/>
        </w:rPr>
        <w:t>：15辆无人驾驶智能观光车批量投放运营，已服务近2万名游客，证明"封闭景区布设可驾驶设备+按次运营"的模式成熟。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来源：绍兴网、半月谈、新华网湖南频道、南京市江宁区政府网｜期间：2025年12月-2026年6月｜口径：公开新闻报道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这些先例说明：技术可行、场地愿意合作、用户愿意付费。本项目与其差异在于：</w:t>
      </w:r>
      <w:r>
        <w:rPr>
          <w:rFonts w:eastAsia="等线" w:ascii="Arial" w:cs="Arial" w:hAnsi="Arial"/>
          <w:b w:val="true"/>
          <w:sz w:val="22"/>
        </w:rPr>
        <w:t>不依赖头部景区，以闲置地形与沙盘作为长尾供给</w:t>
      </w:r>
      <w:r>
        <w:rPr>
          <w:rFonts w:eastAsia="等线" w:ascii="Arial" w:cs="Arial" w:hAnsi="Arial"/>
          <w:sz w:val="22"/>
        </w:rPr>
        <w:t>，把远程驾驶体验规模化、标准化、平台化。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目标客群：五类"想出门却出不去"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2325"/>
        <w:gridCol w:w="2565"/>
        <w:gridCol w:w="210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客群簇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代表人群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核心场景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付费逻辑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出行受限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老人、残障、病患、孕妇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旧地重游、出门看看、怀旧疗愈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本人+子女/家属（孝心经济）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时间受限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都市白领、宝妈、加班族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说走就走的旅行、解压驾驶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个人订阅/单次付费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能力受限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无驾照、购车门槛、恐驾人群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圆驾驶梦、学车预演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个人付费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兴趣玩家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RC玩家、游戏迷、科技极客、航天迷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竞速、越野、自组织比赛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个人+赛事增值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机构场景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养老院、康复中心、景区、商场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数字出行服务、体验运营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机构采购/订阅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来源：项目组定位分析｜口径：按需求驱动分组，非按年龄划分；客群间场景包可复用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竞争格局与差异化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3480"/>
        <w:gridCol w:w="2610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与本项目差异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Tether Rally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DIY遥控赛车平台，互联网远程驾驶+计时赛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面向玩家、无场地网络与多客群运营，本项目覆盖泛人群与闲置地形供给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景区无人机观光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头部景区驻场运营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单点项目、非平台化；本项目以长尾场地规模化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VR虚拟旅行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本地内容播放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无真实驾驶感与社交；本项目为真实远程+可操控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Flywheel AI / Cargenta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远程操控与车联网技术方案商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技术供应商而非消费平台，可作供应链合作方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来源：原调研报告竞品梳理+公开信息｜口径：定性对比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产品与体验设计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三层架构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由供给侧（加盟商）、平台层、需求侧（用户）三层构成。加盟商提供真实场地、车辆与本地运营；平台提供远程驾驶技术、内容规则、计费与治理；用户通过三层入口（手机/电脑、模拟驾驶硬件、旗舰驾驶舱）参与单人探索或双人比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核心玩法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3705"/>
        <w:gridCol w:w="256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商业意义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单人探索局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30分钟一局，电量即计时；地图为黑暗森林，探索即点亮，结算点亮面积/里程/打卡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基础付费盘，内容成本趋零（用户驾驶即建图）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双人比赛局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用户自组织，2人即开；加盟商有空车即可；比赛软件控件完成倒计时、计时、排名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双倍收入、社交裂变、战绩沉淀与复玩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来源：项目组产品设计｜口径：玩法机制定义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差异化机制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黑暗森林地图</w:t>
      </w:r>
      <w:r>
        <w:rPr>
          <w:rFonts w:eastAsia="等线" w:ascii="Arial" w:cs="Arial" w:hAnsi="Arial"/>
          <w:sz w:val="22"/>
        </w:rPr>
        <w:t>：开局全图黑暗，仅见边界与起点；车辆经过区域才点亮。降低内容制作成本（无需预建全景），同时以内置的探索成就感驱动复玩。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电池即计时</w:t>
      </w:r>
      <w:r>
        <w:rPr>
          <w:rFonts w:eastAsia="等线" w:ascii="Arial" w:cs="Arial" w:hAnsi="Arial"/>
          <w:sz w:val="22"/>
        </w:rPr>
        <w:t>：单场30分钟与电池续航对齐，无需后台计时管理，产品逻辑自洽。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GPS边界自绘</w:t>
      </w:r>
      <w:r>
        <w:rPr>
          <w:rFonts w:eastAsia="等线" w:ascii="Arial" w:cs="Arial" w:hAnsi="Arial"/>
          <w:sz w:val="22"/>
        </w:rPr>
        <w:t>：加盟商沿场地边界驾驶一圈即生成电子围栏，平台零测绘成本，加盟商自助上线。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车载多视角</w:t>
      </w:r>
      <w:r>
        <w:rPr>
          <w:rFonts w:eastAsia="等线" w:ascii="Arial" w:cs="Arial" w:hAnsi="Arial"/>
          <w:sz w:val="22"/>
        </w:rPr>
        <w:t>：每车GPS+5-7个全景摄像头，同一时刻推送1-2路主视角，多角度切换兼顾沉浸感与带宽成本。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商业模式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商业模式闭环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给、平台、需求三方形成闭环：加盟商供给真实驾驶场景，平台派发订单并完成认证、审核、计费与治理，用户按次付费，收入按比例分成回流。网络效应为：加盟点越多，场景越丰富，用户付费意愿越强，加盟商收入越高，进而吸引更多加盟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收入四线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3465"/>
        <w:gridCol w:w="1875"/>
        <w:gridCol w:w="133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收入线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使用分成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探索局/比赛局按次付费，平台留存20-30%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经常性收入主体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启动即上线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加盟相关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认证车辆/图传套件销售、管理费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供给端收入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启动即上线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硬件增值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模拟驾驶方向盘/踏板套装；先兼容通用外设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零售增值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后置（先兼容外设）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模型商城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驾驶过车型同款车模，战绩绑定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零售增值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后置（粘性验证后）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来源：项目组商业模式设计｜口径：收入线定义与上线顺序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定价与分成机制</w:t>
      </w:r>
      <w:bookmarkEnd w:id="1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加盟商自主定价</w:t>
      </w:r>
      <w:r>
        <w:rPr>
          <w:rFonts w:eastAsia="等线" w:ascii="Arial" w:cs="Arial" w:hAnsi="Arial"/>
          <w:sz w:val="22"/>
        </w:rPr>
        <w:t>：按车型档次、场地热度、时段自主定单场价，报平台审核；平台设定参考价±30%上下限，防恶性价格战与天价宰客。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车辆分档定价</w:t>
      </w:r>
      <w:r>
        <w:rPr>
          <w:rFonts w:eastAsia="等线" w:ascii="Arial" w:cs="Arial" w:hAnsi="Arial"/>
          <w:sz w:val="22"/>
        </w:rPr>
        <w:t>：不同档次车辆收费不同。示例：入门档（如北京吉普212型，车价约1500-2500元，单场参考价10-20元）；中档（如切诺基型，车价约2500-4000元，单场20-35元）；高档（高性能/大脚车，车价4000元以上，单场35-60元）。以上为示例估算，最终由加盟商定价、平台审核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分成</w:t>
      </w:r>
      <w:r>
        <w:rPr>
          <w:rFonts w:eastAsia="等线" w:ascii="Arial" w:cs="Arial" w:hAnsi="Arial"/>
          <w:sz w:val="22"/>
        </w:rPr>
        <w:t>：用户付费按比例分成，加盟商70-80%、平台20-30%（估算，试点校准）。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加盟体系与单店模型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加盟条件与形态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加盟条件统一且极简：</w:t>
      </w:r>
      <w:r>
        <w:rPr>
          <w:rFonts w:eastAsia="等线" w:ascii="Arial" w:cs="Arial" w:hAnsi="Arial"/>
          <w:b w:val="true"/>
          <w:sz w:val="22"/>
        </w:rPr>
        <w:t>有可闭环的场地 + 购买并维护好不少于10台认证车辆</w:t>
      </w:r>
      <w:r>
        <w:rPr>
          <w:rFonts w:eastAsia="等线" w:ascii="Arial" w:cs="Arial" w:hAnsi="Arial"/>
          <w:sz w:val="22"/>
        </w:rPr>
        <w:t>。加盟商形态以C类（闲置地形：田园、森林、竹林、草原、沙地）为主，B类（沙盘创意型，面向沙盘爱好者）为辅，A类（景区/商场重资产改造）不投入。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2400"/>
        <w:gridCol w:w="2670"/>
        <w:gridCol w:w="160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形态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场地来源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C类（主）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承包闲置自然地形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投入最低、合规最轻、闭环车道即达标、季节运营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规模供给底座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B类（辅）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自有场地自建沙盘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微缩创意、室内全年、可赛事化；面向沙盘爱好者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差异化内容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A类（不投入）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景区/商场/机构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合规重、维护成本高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品牌标杆（暂缓）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来源：项目组加盟体系设计｜口径：形态定位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单店经济模型（估算）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单店基准配置为10台分档车（建议3入门+4中档+3高档）。10台车同时是比赛局的并发前提：一场双人赛占用2台，热门时段可并发多场，且单车故障时有余量顶替。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情景收入估算：保守情景（单车日均2场、均价20元）加盟商月收入约0.9万元，回本约4个月；基准情景（日均5场、均价25元）约2.8万元，回本约1.5个月；乐观情景（日均8场、均价30元）约5.4万元，回本约1个月。以上为估算，须以直营示范点实际数据校准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来源：项目组财务估算｜单位：万元/月｜口径：10台车、加盟商分成75%、单场15-40元分档混合；条形为相对示意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财务预测与资金计划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平台收入结构预测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收入结构预测：启动期以使用分成（40%）与加盟相关（35%）为主体；成熟期使用分成升至45%、加盟相关降至25%，硬件与商城合计占约30%。该结构为预测假设，实际构成以运营数据为准。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来源：项目组商业预测｜单位：占比%｜口径：预测假设，非历史数据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启动资金与里程碑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2940"/>
        <w:gridCol w:w="1875"/>
        <w:gridCol w:w="14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关键动作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资金估算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示范点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认证车辆采购、图传套件、简易改造、平台最小闭环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3-6万元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4-6周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首批试点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3-5家C类加盟商接入、加盟手册V1、运营培训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5-15万元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2-4个月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分级复制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城市合伙人/单店分级、内容库扩充、赛事体系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视规模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6-12个月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来源：项目组资金计划｜单位：万元｜口径：估算区间，随城市与设备组合调整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风险与合规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风险清单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2955"/>
        <w:gridCol w:w="265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单店模型失效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客流不足、使用率低导致回本拉长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先直营验证，试点数据校准后再放量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车辆损耗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越野损耗大、维修周期影响在线时长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认证车型耐造选型、备件供应链、在线时长自动筛选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加盟商管理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服务质量参差、账目不透明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设备联网数据回传、内容总部掌控、收入机制激励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合规风险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无人机空域、场地责任、远程操控监管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限定封闭场地、平台统一合规模板、责任险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市场教育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目标客群对"远程驾驶"认知度低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先通过赛事/玩家社群与机构渠道冷启动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来源：原调研报告风险项+项目组分析｜口径：风险识别与应对设计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合规边界</w:t>
      </w:r>
      <w:bookmarkEnd w:id="2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真实远程驾驶载体限定封闭/半封闭场景（景区、自有场地、承包地形），不得在公共道路行驶真车；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无人机类载体按《无人驾驶航空器飞行管理暂行条例》由平台方与场地方部署运营，用户仅远程操控（参照绍兴模式）；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责任划分：车辆自然损耗由加盟商承担；远程驾驶中重大损坏/丢失由平台保险池统一赔付；场地安全责任由加盟商落实物理围挡与电子围栏。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实施路线图</w:t>
      </w:r>
      <w:bookmarkEnd w:id="2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直营验证（4-6周）</w:t>
      </w:r>
      <w:r>
        <w:rPr>
          <w:rFonts w:eastAsia="等线" w:ascii="Arial" w:cs="Arial" w:hAnsi="Arial"/>
          <w:sz w:val="22"/>
        </w:rPr>
        <w:t>：示范点建设，跑通远程驾驶全链路，采集首月在线时长、付费转化、复玩率三项核心数据。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标准化（第2-3个月）</w:t>
      </w:r>
      <w:r>
        <w:rPr>
          <w:rFonts w:eastAsia="等线" w:ascii="Arial" w:cs="Arial" w:hAnsi="Arial"/>
          <w:sz w:val="22"/>
        </w:rPr>
        <w:t>：形成认证车型清单、图传套件标准、运营SOP、加盟手册V1。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首批试点（第3-6个月）</w:t>
      </w:r>
      <w:r>
        <w:rPr>
          <w:rFonts w:eastAsia="等线" w:ascii="Arial" w:cs="Arial" w:hAnsi="Arial"/>
          <w:sz w:val="22"/>
        </w:rPr>
        <w:t>：招募3-5家自带场地资源的C类加盟商，试运营并校准单店模型。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分级复制（第6-12个月）</w:t>
      </w:r>
      <w:r>
        <w:rPr>
          <w:rFonts w:eastAsia="等线" w:ascii="Arial" w:cs="Arial" w:hAnsi="Arial"/>
          <w:sz w:val="22"/>
        </w:rPr>
        <w:t>：城市合伙人/单店加盟分级，按数据考核扩张；扩充内容场景库与赛事体系。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结论与下一步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已具备清晰的定位、闭环的商业模式与可执行的落地路径。建议下一阶段聚焦三项工作：其一，完成认证车辆与图传套件的选型采购；其二，建设首个直营示范点并获取真实运营数据；其三，以示范点数据为基础编写加盟手册V1并启动首批加盟商招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本计划书中的市场数据来自公开权威来源，商业模式与财务模型为项目组设计（估算/预测标注），正式投资决策前须完成示范点验证。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附录A：技术方案（MVP）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技术方案延续"极简"原则：前期只建设一条可跑通的链路——认证越野RC车+标准改装包 → 4G推流 → 极简平台（会话/计费/点亮地图）→ 手机H5驾驶。整体分四层：车端、传输链路、平台服务、客户端。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10.1 </w:t>
      </w:r>
      <w:r>
        <w:rPr>
          <w:rFonts w:eastAsia="等线" w:ascii="Arial" w:cs="Arial" w:hAnsi="Arial"/>
          <w:b w:val="true"/>
          <w:sz w:val="32"/>
        </w:rPr>
        <w:t>车辆改装标准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3990"/>
        <w:gridCol w:w="228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改装层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底盘动力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认证攀爬/越野RC底盘，金属齿轮/避震优先，原厂电调+舵机比例控制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外观壳按档位（212/切诺基/大脚）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电池供电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容量按"30分钟单场+20%余量"选型，动力电与逻辑电分离（UBEC降压）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低电量提示返场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图传主控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RK3588级主控（H.264/H.265硬编），5-7路摄像头，同一时刻推1-2路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多角度切换，不做实时全景拼接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定位网络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GPS模块1Hz上报，4G/5G模组（双卡冗余可选）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天线避开金属壳遮挡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安全机制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断链自动停车，GPS电子围栏超界急停，速度限档（新用户/老人限速）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强制标配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来源：项目组技术方案设计｜口径：套件成本为工程估算（单台约800-2000元），需选型实测后定价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10.2 </w:t>
      </w:r>
      <w:r>
        <w:rPr>
          <w:rFonts w:eastAsia="等线" w:ascii="Arial" w:cs="Arial" w:hAnsi="Arial"/>
          <w:b w:val="true"/>
          <w:sz w:val="32"/>
        </w:rPr>
        <w:t>图传链路与延迟预算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00"/>
        <w:gridCol w:w="2700"/>
      </w:tblGrid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估算延迟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车端编码（H.264）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40-60ms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4G上行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60-120ms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SFU/转发节点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20-40ms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4G下行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60-120ms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客户端解码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30-50ms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端到端合计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约250-390ms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来源：项目组工程估算｜口径：720p@30单路约1.5-2.5Mbps，需示范点实测校准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</w:t>
      </w:r>
      <w:r>
        <w:rPr>
          <w:rFonts w:eastAsia="等线" w:ascii="Arial" w:cs="Arial" w:hAnsi="Arial"/>
          <w:sz w:val="22"/>
        </w:rPr>
        <w:t>：视频WebRTC（SFU），弱网场景SRT备选；信令/控制WebSocket或MQTT（与视频流分离）；遥测GPS/电量1Hz。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带宽</w:t>
      </w:r>
      <w:r>
        <w:rPr>
          <w:rFonts w:eastAsia="等线" w:ascii="Arial" w:cs="Arial" w:hAnsi="Arial"/>
          <w:sz w:val="22"/>
        </w:rPr>
        <w:t>：同一时刻只推1-2路主视角，其余按需拉流；10台并发峰值上行约20Mbps。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黑暗森林点亮</w:t>
      </w:r>
      <w:r>
        <w:rPr>
          <w:rFonts w:eastAsia="等线" w:ascii="Arial" w:cs="Arial" w:hAnsi="Arial"/>
          <w:sz w:val="22"/>
        </w:rPr>
        <w:t>：GPS坐标+半径点亮瓦片网格，服务端计算状态，不依赖图像识别。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10.3 </w:t>
      </w:r>
      <w:r>
        <w:rPr>
          <w:rFonts w:eastAsia="等线" w:ascii="Arial" w:cs="Arial" w:hAnsi="Arial"/>
          <w:b w:val="true"/>
          <w:sz w:val="32"/>
        </w:rPr>
        <w:t>平台MVP模块与范围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4500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会话服务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30分钟单场、电量即计时、开始/结束/结算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地图服务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GPS→瓦片点亮、黑暗森林状态、加盟商围栏数据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订单/支付/分成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订单创建、支付（微信/支付宝）、按次分成结算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账号体系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用户注册登录、战绩与点亮记录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加盟商后台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车辆上线/下线、围栏绘制、定价报备与审核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来源：项目组技术方案设计｜口径：MVP模块定义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后置项</w:t>
      </w:r>
      <w:r>
        <w:rPr>
          <w:rFonts w:eastAsia="等线" w:ascii="Arial" w:cs="Arial" w:hAnsi="Arial"/>
          <w:sz w:val="22"/>
        </w:rPr>
        <w:t>：比赛房间（MVP+1，与商业模式粘性验证节奏一致）、轨迹回放、模拟硬件直连、全景拼接。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10.4 </w:t>
      </w:r>
      <w:r>
        <w:rPr>
          <w:rFonts w:eastAsia="等线" w:ascii="Arial" w:cs="Arial" w:hAnsi="Arial"/>
          <w:b w:val="true"/>
          <w:sz w:val="32"/>
        </w:rPr>
        <w:t>H5客户端响应可行性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结论：可行。</w:t>
      </w:r>
      <w:r>
        <w:rPr>
          <w:rFonts w:eastAsia="等线" w:ascii="Arial" w:cs="Arial" w:hAnsi="Arial"/>
          <w:sz w:val="22"/>
        </w:rPr>
        <w:t>WebRTC为浏览器原生实时通信标准，无需安装；按上表链路预算，端到端延迟约250-390ms（估算）。RC车低速行驶（约10-20km/h），300ms内位移约1-2米，处于操作者视野与电子围栏保护范围内，完全可控。H5零安装、跨平台、打开即玩，对老人等低门槛客群尤为友好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 14.3+/Android Chrome的WebRTC支持成熟；控制指令走独立WebSocket通道，不与视频流争抢带宽；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触屏方向盘采用比例映射；弱网自动降码率保流畅；需处理屏幕常亮、音频自动播放等浏览器策略；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若后续需更低延迟或更强操控（力反馈），再升级原生壳/App，H5先行不构成技术债。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10.5 </w:t>
      </w:r>
      <w:r>
        <w:rPr>
          <w:rFonts w:eastAsia="等线" w:ascii="Arial" w:cs="Arial" w:hAnsi="Arial"/>
          <w:b w:val="true"/>
          <w:sz w:val="32"/>
        </w:rPr>
        <w:t>关键决策与待实测项</w:t>
      </w:r>
      <w:bookmarkEnd w:id="3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已定</w:t>
      </w:r>
      <w:r>
        <w:rPr>
          <w:rFonts w:eastAsia="等线" w:ascii="Arial" w:cs="Arial" w:hAnsi="Arial"/>
          <w:sz w:val="22"/>
        </w:rPr>
        <w:t>：WebRTC（SFU）+SRT备选；H5客户端优先；同一时刻1-2路推流；黑暗森林=GPS瓦片点亮；比赛局后置；主控倾向国产RK3588（供应链在国内）。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待实测</w:t>
      </w:r>
      <w:r>
        <w:rPr>
          <w:rFonts w:eastAsia="等线" w:ascii="Arial" w:cs="Arial" w:hAnsi="Arial"/>
          <w:sz w:val="22"/>
        </w:rPr>
        <w:t>：示范点场地4G端到端延迟P50；摄像头排布与视角方案；电池"电量即计时"落地（SOC上报 vs 固定30分钟）；套件成本与认证车型定价。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来源：项目组技术方案设计｜口径：技术参数为工程估算，全部以示范点实测为准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资料来源</w:t>
      </w:r>
      <w:bookmarkEnd w:id="34"/>
    </w:p>
    <w:p>
      <w:pPr>
        <w:numPr>
          <w:numId w:val="36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央视网：《2025年度国家老龄事业发展公报》报道（60+人口32338万）</w:t>
        </w:r>
      </w:hyperlink>
    </w:p>
    <w:p>
      <w:pPr>
        <w:numPr>
          <w:numId w:val="37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民政部：《2025年度国家老龄事业发展公报》解读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Insta360：日本养老院VR旅行案例</w:t>
        </w:r>
      </w:hyperlink>
    </w:p>
    <w:p>
      <w:pPr>
        <w:numPr>
          <w:numId w:val="39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PMC：沉浸式VR怀旧对高龄老人焦虑的影响研究</w:t>
        </w:r>
      </w:hyperlink>
    </w:p>
    <w:p>
      <w:pPr>
        <w:numPr>
          <w:numId w:val="40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绍兴网：古城无人机远程操控旅游项目</w:t>
        </w:r>
      </w:hyperlink>
    </w:p>
    <w:p>
      <w:pPr>
        <w:numPr>
          <w:numId w:val="41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半月谈：张家界全景无人机观光体验</w:t>
        </w:r>
      </w:hyperlink>
    </w:p>
    <w:p>
      <w:pPr>
        <w:numPr>
          <w:numId w:val="42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江宁区政府：牛首山无人驾驶智能观光车运营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2457">
    <w:lvl>
      <w:numFmt w:val="bullet"/>
      <w:suff w:val="tab"/>
      <w:lvlText w:val="•"/>
      <w:rPr>
        <w:color w:val="3370ff"/>
      </w:rPr>
    </w:lvl>
  </w:abstractNum>
  <w:abstractNum w:abstractNumId="732458">
    <w:lvl>
      <w:numFmt w:val="bullet"/>
      <w:suff w:val="tab"/>
      <w:lvlText w:val="•"/>
      <w:rPr>
        <w:color w:val="3370ff"/>
      </w:rPr>
    </w:lvl>
  </w:abstractNum>
  <w:abstractNum w:abstractNumId="732459">
    <w:lvl>
      <w:numFmt w:val="bullet"/>
      <w:suff w:val="tab"/>
      <w:lvlText w:val="•"/>
      <w:rPr>
        <w:color w:val="3370ff"/>
      </w:rPr>
    </w:lvl>
  </w:abstractNum>
  <w:abstractNum w:abstractNumId="732460">
    <w:lvl>
      <w:numFmt w:val="bullet"/>
      <w:suff w:val="tab"/>
      <w:lvlText w:val="•"/>
      <w:rPr>
        <w:color w:val="3370ff"/>
      </w:rPr>
    </w:lvl>
  </w:abstractNum>
  <w:abstractNum w:abstractNumId="732461">
    <w:lvl>
      <w:numFmt w:val="bullet"/>
      <w:suff w:val="tab"/>
      <w:lvlText w:val="•"/>
      <w:rPr>
        <w:color w:val="3370ff"/>
      </w:rPr>
    </w:lvl>
  </w:abstractNum>
  <w:abstractNum w:abstractNumId="732462">
    <w:lvl>
      <w:numFmt w:val="bullet"/>
      <w:suff w:val="tab"/>
      <w:lvlText w:val="•"/>
      <w:rPr>
        <w:color w:val="3370ff"/>
      </w:rPr>
    </w:lvl>
  </w:abstractNum>
  <w:abstractNum w:abstractNumId="732463">
    <w:lvl>
      <w:start w:val="1"/>
      <w:numFmt w:val="decimal"/>
      <w:suff w:val="tab"/>
      <w:lvlText w:val="%1."/>
      <w:rPr>
        <w:color w:val="3370ff"/>
      </w:rPr>
    </w:lvl>
  </w:abstractNum>
  <w:abstractNum w:abstractNumId="732464">
    <w:lvl>
      <w:start w:val="2"/>
      <w:numFmt w:val="decimal"/>
      <w:suff w:val="tab"/>
      <w:lvlText w:val="%1."/>
      <w:rPr>
        <w:color w:val="3370ff"/>
      </w:rPr>
    </w:lvl>
  </w:abstractNum>
  <w:abstractNum w:abstractNumId="732465">
    <w:lvl>
      <w:start w:val="3"/>
      <w:numFmt w:val="decimal"/>
      <w:suff w:val="tab"/>
      <w:lvlText w:val="%1."/>
      <w:rPr>
        <w:color w:val="3370ff"/>
      </w:rPr>
    </w:lvl>
  </w:abstractNum>
  <w:abstractNum w:abstractNumId="732466">
    <w:lvl>
      <w:start w:val="4"/>
      <w:numFmt w:val="decimal"/>
      <w:suff w:val="tab"/>
      <w:lvlText w:val="%1."/>
      <w:rPr>
        <w:color w:val="3370ff"/>
      </w:rPr>
    </w:lvl>
  </w:abstractNum>
  <w:abstractNum w:abstractNumId="732467">
    <w:lvl>
      <w:numFmt w:val="bullet"/>
      <w:suff w:val="tab"/>
      <w:lvlText w:val="•"/>
      <w:rPr>
        <w:color w:val="3370ff"/>
      </w:rPr>
    </w:lvl>
  </w:abstractNum>
  <w:abstractNum w:abstractNumId="732468">
    <w:lvl>
      <w:numFmt w:val="bullet"/>
      <w:suff w:val="tab"/>
      <w:lvlText w:val="•"/>
      <w:rPr>
        <w:color w:val="3370ff"/>
      </w:rPr>
    </w:lvl>
  </w:abstractNum>
  <w:abstractNum w:abstractNumId="732469">
    <w:lvl>
      <w:numFmt w:val="bullet"/>
      <w:suff w:val="tab"/>
      <w:lvlText w:val="•"/>
      <w:rPr>
        <w:color w:val="3370ff"/>
      </w:rPr>
    </w:lvl>
  </w:abstractNum>
  <w:abstractNum w:abstractNumId="732470">
    <w:lvl>
      <w:numFmt w:val="bullet"/>
      <w:suff w:val="tab"/>
      <w:lvlText w:val="•"/>
      <w:rPr>
        <w:color w:val="3370ff"/>
      </w:rPr>
    </w:lvl>
  </w:abstractNum>
  <w:abstractNum w:abstractNumId="732471">
    <w:lvl>
      <w:numFmt w:val="bullet"/>
      <w:suff w:val="tab"/>
      <w:lvlText w:val="•"/>
      <w:rPr>
        <w:color w:val="3370ff"/>
      </w:rPr>
    </w:lvl>
  </w:abstractNum>
  <w:abstractNum w:abstractNumId="732472">
    <w:lvl>
      <w:numFmt w:val="bullet"/>
      <w:suff w:val="tab"/>
      <w:lvlText w:val="•"/>
      <w:rPr>
        <w:color w:val="3370ff"/>
      </w:rPr>
    </w:lvl>
  </w:abstractNum>
  <w:abstractNum w:abstractNumId="732473">
    <w:lvl>
      <w:numFmt w:val="bullet"/>
      <w:suff w:val="tab"/>
      <w:lvlText w:val="•"/>
      <w:rPr>
        <w:color w:val="3370ff"/>
      </w:rPr>
    </w:lvl>
  </w:abstractNum>
  <w:abstractNum w:abstractNumId="732474">
    <w:lvl>
      <w:numFmt w:val="bullet"/>
      <w:suff w:val="tab"/>
      <w:lvlText w:val="•"/>
      <w:rPr>
        <w:color w:val="3370ff"/>
      </w:rPr>
    </w:lvl>
  </w:abstractNum>
  <w:abstractNum w:abstractNumId="732475">
    <w:lvl>
      <w:numFmt w:val="bullet"/>
      <w:suff w:val="tab"/>
      <w:lvlText w:val="•"/>
      <w:rPr>
        <w:color w:val="3370ff"/>
      </w:rPr>
    </w:lvl>
  </w:abstractNum>
  <w:abstractNum w:abstractNumId="732476">
    <w:lvl>
      <w:numFmt w:val="bullet"/>
      <w:suff w:val="tab"/>
      <w:lvlText w:val="•"/>
      <w:rPr>
        <w:color w:val="3370ff"/>
      </w:rPr>
    </w:lvl>
  </w:abstractNum>
  <w:abstractNum w:abstractNumId="732477">
    <w:lvl>
      <w:numFmt w:val="bullet"/>
      <w:suff w:val="tab"/>
      <w:lvlText w:val="•"/>
      <w:rPr>
        <w:color w:val="3370ff"/>
      </w:rPr>
    </w:lvl>
  </w:abstractNum>
  <w:abstractNum w:abstractNumId="732478">
    <w:lvl>
      <w:numFmt w:val="bullet"/>
      <w:suff w:val="tab"/>
      <w:lvlText w:val="•"/>
      <w:rPr>
        <w:color w:val="3370ff"/>
      </w:rPr>
    </w:lvl>
  </w:abstractNum>
  <w:abstractNum w:abstractNumId="732479">
    <w:lvl>
      <w:numFmt w:val="bullet"/>
      <w:suff w:val="tab"/>
      <w:lvlText w:val="•"/>
      <w:rPr>
        <w:color w:val="3370ff"/>
      </w:rPr>
    </w:lvl>
  </w:abstractNum>
  <w:abstractNum w:abstractNumId="732480">
    <w:lvl>
      <w:start w:val="1"/>
      <w:numFmt w:val="decimal"/>
      <w:suff w:val="tab"/>
      <w:lvlText w:val="%1."/>
      <w:rPr>
        <w:color w:val="3370ff"/>
      </w:rPr>
    </w:lvl>
  </w:abstractNum>
  <w:abstractNum w:abstractNumId="732481">
    <w:lvl>
      <w:start w:val="2"/>
      <w:numFmt w:val="decimal"/>
      <w:suff w:val="tab"/>
      <w:lvlText w:val="%1."/>
      <w:rPr>
        <w:color w:val="3370ff"/>
      </w:rPr>
    </w:lvl>
  </w:abstractNum>
  <w:abstractNum w:abstractNumId="732482">
    <w:lvl>
      <w:start w:val="3"/>
      <w:numFmt w:val="decimal"/>
      <w:suff w:val="tab"/>
      <w:lvlText w:val="%1."/>
      <w:rPr>
        <w:color w:val="3370ff"/>
      </w:rPr>
    </w:lvl>
  </w:abstractNum>
  <w:abstractNum w:abstractNumId="732483">
    <w:lvl>
      <w:start w:val="4"/>
      <w:numFmt w:val="decimal"/>
      <w:suff w:val="tab"/>
      <w:lvlText w:val="%1."/>
      <w:rPr>
        <w:color w:val="3370ff"/>
      </w:rPr>
    </w:lvl>
  </w:abstractNum>
  <w:abstractNum w:abstractNumId="732484">
    <w:lvl>
      <w:numFmt w:val="bullet"/>
      <w:suff w:val="tab"/>
      <w:lvlText w:val="•"/>
      <w:rPr>
        <w:color w:val="3370ff"/>
      </w:rPr>
    </w:lvl>
  </w:abstractNum>
  <w:abstractNum w:abstractNumId="732485">
    <w:lvl>
      <w:numFmt w:val="bullet"/>
      <w:suff w:val="tab"/>
      <w:lvlText w:val="•"/>
      <w:rPr>
        <w:color w:val="3370ff"/>
      </w:rPr>
    </w:lvl>
  </w:abstractNum>
  <w:abstractNum w:abstractNumId="732486">
    <w:lvl>
      <w:numFmt w:val="bullet"/>
      <w:suff w:val="tab"/>
      <w:lvlText w:val="•"/>
      <w:rPr>
        <w:color w:val="3370ff"/>
      </w:rPr>
    </w:lvl>
  </w:abstractNum>
  <w:abstractNum w:abstractNumId="732487">
    <w:lvl>
      <w:numFmt w:val="bullet"/>
      <w:suff w:val="tab"/>
      <w:lvlText w:val="•"/>
      <w:rPr>
        <w:color w:val="3370ff"/>
      </w:rPr>
    </w:lvl>
  </w:abstractNum>
  <w:abstractNum w:abstractNumId="732488">
    <w:lvl>
      <w:numFmt w:val="bullet"/>
      <w:suff w:val="tab"/>
      <w:lvlText w:val="•"/>
      <w:rPr>
        <w:color w:val="3370ff"/>
      </w:rPr>
    </w:lvl>
  </w:abstractNum>
  <w:abstractNum w:abstractNumId="732489">
    <w:lvl>
      <w:numFmt w:val="bullet"/>
      <w:suff w:val="tab"/>
      <w:lvlText w:val="•"/>
      <w:rPr>
        <w:color w:val="3370ff"/>
      </w:rPr>
    </w:lvl>
  </w:abstractNum>
  <w:abstractNum w:abstractNumId="732490">
    <w:lvl>
      <w:numFmt w:val="bullet"/>
      <w:suff w:val="tab"/>
      <w:lvlText w:val="•"/>
      <w:rPr>
        <w:color w:val="3370ff"/>
      </w:rPr>
    </w:lvl>
  </w:abstractNum>
  <w:abstractNum w:abstractNumId="732491">
    <w:lvl>
      <w:numFmt w:val="bullet"/>
      <w:suff w:val="tab"/>
      <w:lvlText w:val="•"/>
      <w:rPr>
        <w:color w:val="3370ff"/>
      </w:rPr>
    </w:lvl>
  </w:abstractNum>
  <w:abstractNum w:abstractNumId="732492">
    <w:lvl>
      <w:numFmt w:val="bullet"/>
      <w:suff w:val="tab"/>
      <w:lvlText w:val="•"/>
      <w:rPr>
        <w:color w:val="3370ff"/>
      </w:rPr>
    </w:lvl>
  </w:abstractNum>
  <w:abstractNum w:abstractNumId="732493">
    <w:lvl>
      <w:numFmt w:val="bullet"/>
      <w:suff w:val="tab"/>
      <w:lvlText w:val="•"/>
      <w:rPr>
        <w:color w:val="3370ff"/>
      </w:rPr>
    </w:lvl>
  </w:abstractNum>
  <w:abstractNum w:abstractNumId="732494">
    <w:lvl>
      <w:numFmt w:val="bullet"/>
      <w:suff w:val="tab"/>
      <w:lvlText w:val="•"/>
      <w:rPr>
        <w:color w:val="3370ff"/>
      </w:rPr>
    </w:lvl>
  </w:abstractNum>
  <w:abstractNum w:abstractNumId="732495">
    <w:lvl>
      <w:numFmt w:val="bullet"/>
      <w:suff w:val="tab"/>
      <w:lvlText w:val="•"/>
      <w:rPr>
        <w:color w:val="3370ff"/>
      </w:rPr>
    </w:lvl>
  </w:abstractNum>
  <w:abstractNum w:abstractNumId="732496">
    <w:lvl>
      <w:numFmt w:val="bullet"/>
      <w:suff w:val="tab"/>
      <w:lvlText w:val="•"/>
      <w:rPr>
        <w:color w:val="3370ff"/>
      </w:rPr>
    </w:lvl>
  </w:abstractNum>
  <w:abstractNum w:abstractNumId="732497">
    <w:lvl>
      <w:numFmt w:val="bullet"/>
      <w:suff w:val="tab"/>
      <w:lvlText w:val="•"/>
      <w:rPr>
        <w:color w:val="3370ff"/>
      </w:rPr>
    </w:lvl>
  </w:abstractNum>
  <w:abstractNum w:abstractNumId="732498">
    <w:lvl>
      <w:numFmt w:val="bullet"/>
      <w:suff w:val="tab"/>
      <w:lvlText w:val="•"/>
      <w:rPr>
        <w:color w:val="3370ff"/>
      </w:rPr>
    </w:lvl>
  </w:abstractNum>
  <w:num w:numId="1">
    <w:abstractNumId w:val="732457"/>
  </w:num>
  <w:num w:numId="2">
    <w:abstractNumId w:val="732458"/>
  </w:num>
  <w:num w:numId="3">
    <w:abstractNumId w:val="732459"/>
  </w:num>
  <w:num w:numId="4">
    <w:abstractNumId w:val="732460"/>
  </w:num>
  <w:num w:numId="5">
    <w:abstractNumId w:val="732461"/>
  </w:num>
  <w:num w:numId="6">
    <w:abstractNumId w:val="732462"/>
  </w:num>
  <w:num w:numId="7">
    <w:abstractNumId w:val="732463"/>
  </w:num>
  <w:num w:numId="8">
    <w:abstractNumId w:val="732464"/>
  </w:num>
  <w:num w:numId="9">
    <w:abstractNumId w:val="732465"/>
  </w:num>
  <w:num w:numId="10">
    <w:abstractNumId w:val="732466"/>
  </w:num>
  <w:num w:numId="11">
    <w:abstractNumId w:val="732467"/>
  </w:num>
  <w:num w:numId="12">
    <w:abstractNumId w:val="732468"/>
  </w:num>
  <w:num w:numId="13">
    <w:abstractNumId w:val="732469"/>
  </w:num>
  <w:num w:numId="14">
    <w:abstractNumId w:val="732470"/>
  </w:num>
  <w:num w:numId="15">
    <w:abstractNumId w:val="732471"/>
  </w:num>
  <w:num w:numId="16">
    <w:abstractNumId w:val="732472"/>
  </w:num>
  <w:num w:numId="17">
    <w:abstractNumId w:val="732473"/>
  </w:num>
  <w:num w:numId="18">
    <w:abstractNumId w:val="732474"/>
  </w:num>
  <w:num w:numId="19">
    <w:abstractNumId w:val="732475"/>
  </w:num>
  <w:num w:numId="20">
    <w:abstractNumId w:val="732476"/>
  </w:num>
  <w:num w:numId="21">
    <w:abstractNumId w:val="732477"/>
  </w:num>
  <w:num w:numId="22">
    <w:abstractNumId w:val="732478"/>
  </w:num>
  <w:num w:numId="23">
    <w:abstractNumId w:val="732479"/>
  </w:num>
  <w:num w:numId="24">
    <w:abstractNumId w:val="732480"/>
  </w:num>
  <w:num w:numId="25">
    <w:abstractNumId w:val="732481"/>
  </w:num>
  <w:num w:numId="26">
    <w:abstractNumId w:val="732482"/>
  </w:num>
  <w:num w:numId="27">
    <w:abstractNumId w:val="732483"/>
  </w:num>
  <w:num w:numId="28">
    <w:abstractNumId w:val="732484"/>
  </w:num>
  <w:num w:numId="29">
    <w:abstractNumId w:val="732485"/>
  </w:num>
  <w:num w:numId="30">
    <w:abstractNumId w:val="732486"/>
  </w:num>
  <w:num w:numId="31">
    <w:abstractNumId w:val="732487"/>
  </w:num>
  <w:num w:numId="32">
    <w:abstractNumId w:val="732488"/>
  </w:num>
  <w:num w:numId="33">
    <w:abstractNumId w:val="732489"/>
  </w:num>
  <w:num w:numId="34">
    <w:abstractNumId w:val="732490"/>
  </w:num>
  <w:num w:numId="35">
    <w:abstractNumId w:val="732491"/>
  </w:num>
  <w:num w:numId="36">
    <w:abstractNumId w:val="732492"/>
  </w:num>
  <w:num w:numId="37">
    <w:abstractNumId w:val="732493"/>
  </w:num>
  <w:num w:numId="38">
    <w:abstractNumId w:val="732494"/>
  </w:num>
  <w:num w:numId="39">
    <w:abstractNumId w:val="732495"/>
  </w:num>
  <w:num w:numId="40">
    <w:abstractNumId w:val="732496"/>
  </w:num>
  <w:num w:numId="41">
    <w:abstractNumId w:val="732497"/>
  </w:num>
  <w:num w:numId="42">
    <w:abstractNumId w:val="7324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www.shaoxing.com.cn/p/3443154.html" TargetMode="External" Type="http://schemas.openxmlformats.org/officeDocument/2006/relationships/hyperlink"/><Relationship Id="rId11" Target="http://www.banyuetan.org/dfgc/detail/20251231/1000200033136151767156068954978658_1.html" TargetMode="External" Type="http://schemas.openxmlformats.org/officeDocument/2006/relationships/hyperlink"/><Relationship Id="rId12" Target="http://www.jiangning.gov.cn/xwzx/jrjn/202604/t20260403_5817979.html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ttps://news.cctv.com/2026/07/31/ARTIc7xXf143EmQ3z3IIPcdw260731.shtml" TargetMode="External" Type="http://schemas.openxmlformats.org/officeDocument/2006/relationships/hyperlink"/><Relationship Id="rId7" Target="https://www.mca.gov.cn/n152/n166/c1662004999980012304/content.html" TargetMode="External" Type="http://schemas.openxmlformats.org/officeDocument/2006/relationships/hyperlink"/><Relationship Id="rId8" Target="https://www.insta360.com/blog/enterprise/elderly-virtual-reality-travel.html" TargetMode="External" Type="http://schemas.openxmlformats.org/officeDocument/2006/relationships/hyperlink"/><Relationship Id="rId9" Target="https://pmc.ncbi.nlm.nih.gov/articles/PMC7849024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2026-09-05T14:57:59Z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{"Label":"1","ContentProducer":"001191110102MACQD9K64010000","ProduceID":"7682065502743104719","ReservedCode1":"","ContentPropagator":"","PropagateID":"","ReservedCode2":""}</vt:lpwstr>
  </property>
</Properties>
</file>