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2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Анализ рисков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осуществить анализ рисков методами «Матрица компромиссов» и «Таблица анализа рисков».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 индивидуального проекта, в соответствии с которым будет проходить выполнение лабораторной работы: «Курсы по повышению квалификации». Автоматизации подлежит рекламный отдел.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Создать матрицу компромиссов для индивидуального проекта по определенной теме.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Матрица компромиссов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Фиксируется (Зафиксировано)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Согласовывается (Определено)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Принимается (Корректируемо)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Ресурсы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Segoe UI Symbol" w:ascii="Segoe UI Symbol" w:hAnsi="Segoe UI Symbol"/>
                <w:b/>
                <w:bCs/>
                <w:color w:val="33333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✓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Время (график)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Segoe UI Symbol" w:ascii="Segoe UI Symbol" w:hAnsi="Segoe UI Symbol"/>
                <w:b/>
                <w:bCs/>
                <w:color w:val="33333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✓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Возможности (набор функций программы)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Segoe UI Symbol" w:ascii="Segoe UI Symbol" w:hAnsi="Segoe UI Symbol"/>
                <w:b/>
                <w:bCs/>
                <w:color w:val="33333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✓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Определить список рисков для индивидуального проекта по определенной теме.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Список рисков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0"/>
        <w:gridCol w:w="8804"/>
      </w:tblGrid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Риск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Несовместимость между существующими системами и новой системой автоматизации, что может привести к проблемам с интеграцией и сбоям.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Ненадёжность системы: неожиданные сбои или сбои в работе системы автоматизации, приводящие к потере данных или нарушению рабочих процессов.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Сопротивление изменениям: сотрудники могут сопротивляться изменениям, связанным с автоматизацией, из-за опасений по поводу потери работы или дополнительных обязанностей.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Недостаточная подготовка: неадекватная подготовка сотрудников по использованию новой системы автоматизации, что приводит к ошибкам и неэффективности.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Превышение бюджета: неправильное планирование или непредвиденные обстоятельства могут привести к превышению бюджета проекта.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Задачи системы поняты недостаточно полно.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Понимание масштаба и рамок проекта недостаточно.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Далее объединить результаты групп и методом экспертных оценок произвести оценку полученного списка рисков.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 – Экспертная оценка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1418"/>
        <w:gridCol w:w="1417"/>
        <w:gridCol w:w="1417"/>
        <w:gridCol w:w="1419"/>
        <w:gridCol w:w="1559"/>
        <w:gridCol w:w="1269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Риск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Эксперт 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Эксперт 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Эксперт 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Эксперт 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Эксперт 5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Рейтинг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7,4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5,4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5,4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8,2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4,6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3,6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Из полученного списка рисков выбрать пять с самым высоким рейтингом. Составить таблицу «Анализ рисков проекта «Индивидуальный проект»».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4 – Анализ рисков проекта 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«Автоматизированная система рекламирования услуг»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0"/>
        <w:gridCol w:w="2027"/>
        <w:gridCol w:w="2389"/>
        <w:gridCol w:w="2126"/>
        <w:gridCol w:w="2263"/>
      </w:tblGrid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2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Риск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Последствия наступления риска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Меры по предотвращению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Меры по минимизации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 (4)</w:t>
            </w:r>
          </w:p>
        </w:tc>
        <w:tc>
          <w:tcPr>
            <w:tcW w:w="2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Недостаточная подготовка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Снижение производительности, ошибки, искажение информации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Проведение регулярных тренингов и программ обучения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Обеспечение наставничества и поддержки со стороны опытных сотрудников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 (1)</w:t>
            </w:r>
          </w:p>
        </w:tc>
        <w:tc>
          <w:tcPr>
            <w:tcW w:w="2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Несовместимость систем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Сбои в работе, потеря данных, снижение эффективности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Проведение тщательного анализа совместимости и тестирования перед внедрением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Использование переходных мер для обеспечения совместимости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 (2)</w:t>
            </w:r>
          </w:p>
        </w:tc>
        <w:tc>
          <w:tcPr>
            <w:tcW w:w="2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Ненадёжность системы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Простой в работе, потеря данных, финансовые убытки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Использование надёжных аппаратных средств и программного обеспечения, регулярное резервное копирование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планов аварийного восстановления и непрерывности бизнеса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 (3)</w:t>
            </w:r>
          </w:p>
        </w:tc>
        <w:tc>
          <w:tcPr>
            <w:tcW w:w="2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Сопротивление изменениям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Задержки во внедрении, снижение производительности, недовольство сотрудников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Участие сотрудников в процессе планирования и внедрения, эффективное информирование и обучение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Предоставление стимулов и поощрений за принятие изменений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 (5)</w:t>
            </w:r>
          </w:p>
        </w:tc>
        <w:tc>
          <w:tcPr>
            <w:tcW w:w="2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Превышение бюджета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Финансовые потери, задержки во внедрении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Тщательное планирование и составление бюджета, мониторинг расходов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Изучение более экономичных вариантов, поиск дополнительных источников финансирования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 понятии риск, его видах, а также о методах анализа рисков. На практике была заполнена матрица компромиссов для конкретного программного проекта. Приобретён навык пояснять методологию анализа рисков и указывать ее назначение, приводить примеры рисков и осуществлять анализ рисков с помощью таблицы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 xml:space="preserve"> анализа рисков.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128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4794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932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LibreOffice/7.5.1.2$Windows_X86_64 LibreOffice_project/fcbaee479e84c6cd81291587d2ee68cba099e129</Application>
  <AppVersion>15.0000</AppVersion>
  <Pages>4</Pages>
  <Words>530</Words>
  <Characters>3598</Characters>
  <CharactersWithSpaces>3994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2024-09-13T14:49:19Z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