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cotejo: paper12.docx versus código del repositorio</w:t>
      </w:r>
    </w:p>
    <w:p>
      <w:r>
        <w:rPr>
          <w:b/>
          <w:i w:val="0"/>
        </w:rPr>
        <w:t>Documento auditado: paper12.docx (CACIC 2026 · WTIAE)</w:t>
      </w:r>
    </w:p>
    <w:p>
      <w:r>
        <w:rPr>
          <w:b w:val="0"/>
          <w:i w:val="0"/>
        </w:rPr>
        <w:t>Repositorio auditado: AI-NativeV3-main (estado vigente al cierre del análisis)</w:t>
      </w:r>
    </w:p>
    <w:p>
      <w:r>
        <w:rPr>
          <w:b w:val="0"/>
          <w:i w:val="0"/>
        </w:rPr>
        <w:t>Informe previo de referencia: caccic.md (auditoría sobre paper.docx, versión anterior)</w:t>
      </w:r>
    </w:p>
    <w:p>
      <w:r>
        <w:rPr>
          <w:b w:val="0"/>
          <w:i w:val="0"/>
        </w:rPr>
        <w:t>Fecha del análisis: 2026-05-09</w:t>
      </w:r>
    </w:p>
    <w:p>
      <w:r>
        <w:rPr>
          <w:b w:val="0"/>
          <w:i w:val="0"/>
        </w:rPr>
        <w:t>Alcance: verificación bidireccional entre paper12.docx y el código vigente, los ADRs aceptados, el catálogo de reglas de negocio, los archivos de servicios y la bitácora de sesiones.</w:t>
      </w:r>
    </w:p>
    <w:p>
      <w:pPr>
        <w:pStyle w:val="Heading1"/>
      </w:pPr>
      <w:r>
        <w:t>1. Encuadre del análisis</w:t>
      </w:r>
    </w:p>
    <w:p>
      <w:r>
        <w:rPr>
          <w:b w:val="0"/>
          <w:i w:val="0"/>
        </w:rPr>
        <w:t>El paper12.docx que aquí se audita es una iteración posterior del manuscrito presentado a CACIC 2026 (Workshop de Tecnología Informática Aplicada en Educación). Una versión previa del mismo trabajo (paper.docx) había sido auditada contra este mismo repositorio en el documento caccic.md, donde se identificaron seis distorsiones del texto del paper respecto del estado real del código que ese paper toma como contexto. La presente auditoría se propone responder dos preguntas separadas, encadenadas en orden lógico. Primero, ¿la nueva versión paper12 incorpora efectivamente las correcciones que el informe previo recomendaba, en los pasajes donde se habían detectado distorsiones críticas, medianas o menores? Segundo, ¿la auditoría fresca sobre el texto actualizado revela distorsiones nuevas no presentes en el manuscrito anterior, o subsisten áreas que conviene precisar antes de la presentación pública?</w:t>
      </w:r>
    </w:p>
    <w:p>
      <w:r>
        <w:rPr>
          <w:b w:val="0"/>
          <w:i w:val="0"/>
        </w:rPr>
        <w:t>La separación es importante porque protege el procedimiento contra dos riesgos opuestos. Si solo se chequease el cierre de las observaciones del informe previo, podríamos pasar por alto distorsiones nuevas introducidas por la reescritura. Si solo se hiciera auditoría fresca, perderíamos la métrica explícita del progreso entre versiones. El informe combina ambas pasadas.</w:t>
      </w:r>
    </w:p>
    <w:p>
      <w:r>
        <w:rPr>
          <w:b w:val="0"/>
          <w:i w:val="0"/>
        </w:rPr>
        <w:t>Como en la auditoría previa, el alcance del cotejo se circunscribe al sistema AI-Native que el paper toma como referente teórico y arquitectónico. El instrumento ex-post articulado en tres módulos (AST sintáctico, histórico de git, semántico mediante LLM) que el paper introduce como contribución metodológica original no está implementado en este repositorio, lo cual no constituye distorsión alguna porque la sección 7 del paper declara explícitamente que la validación empírica se ejecutará durante 2026 sobre 30 repositorios de la cátedra de Programación de la TUPAD-UTN, programa nacional distinto del piloto UNSL en el que vive el sistema AI-Native del repositorio. La auditoría sobre el instrumento se reduce, por tanto, al control de coherencia interna del propio paper.</w:t>
      </w:r>
    </w:p>
    <w:p>
      <w:pPr>
        <w:pStyle w:val="Heading1"/>
      </w:pPr>
      <w:r>
        <w:t>2. Metodología del cotejo</w:t>
      </w:r>
    </w:p>
    <w:p>
      <w:r>
        <w:rPr>
          <w:b w:val="0"/>
          <w:i w:val="0"/>
        </w:rPr>
        <w:t>El procedimiento seguido fue cuádruple. Primero, extracción del texto íntegro del paper12.docx mediante python-docx, con identificación de cada afirmación técnica verificable contra el repositorio. Segundo, lectura sistemática del informe previo caccic.md y mapeo de cada una de sus seis distorsiones (numeradas allí 4.1 a 4.6) hacia los pasajes del paper12 que las sucederían. Tercero, búsqueda en el repositorio de los identificadores, constantes, módulos, ADRs y reglas de negocio que materializan o contradicen cada afirmación, con anotación de las referencias precisas en formato archivo:línea. Cuarto, auditoría fresca sobre el conjunto del paper12 buscando afirmaciones técnicas no cubiertas por el informe anterior.</w:t>
      </w:r>
    </w:p>
    <w:p>
      <w:r>
        <w:rPr>
          <w:b w:val="0"/>
          <w:i w:val="0"/>
        </w:rPr>
        <w:t>El criterio de severidad se mantiene del informe previo: Crítica cuando el paper afirma como hecho operacional algo que el código contradice de manera directa y verificable, con efecto sobre la interpretación científica del trabajo. Mediana cuando la afirmación del paper es ambigua o sobregeneraliza una capacidad parcial del código. Menor cuando la divergencia es terminológica o cosmética sin afectar la verdad del enunciado. Alineada cuando paper y código coinciden en el nivel de afirmación pertinente.</w:t>
      </w:r>
    </w:p>
    <w:p>
      <w:pPr>
        <w:pStyle w:val="Heading1"/>
      </w:pPr>
      <w:r>
        <w:t>3. Verificación del cierre de las distorsiones del informe previo</w:t>
      </w:r>
    </w:p>
    <w:p>
      <w:r>
        <w:rPr>
          <w:b w:val="0"/>
          <w:i w:val="0"/>
        </w:rPr>
        <w:t>La síntesis ejecutiva de esta sección puede formularse en una sola línea: las seis distorsiones identificadas en caccic.md se encuentran cerradas en paper12.docx. La sección desarrolla cada una con la cita textual del paper anterior, la cita textual del paper12 que la corrige, y la verificación contra el código.</w:t>
      </w:r>
    </w:p>
    <w:p>
      <w:pPr>
        <w:pStyle w:val="Heading2"/>
      </w:pPr>
      <w:r>
        <w:t>3.1 Cierre de la distorsión 4.1 — umbral normativo κ</w:t>
      </w:r>
    </w:p>
    <w:p>
      <w:r>
        <w:rPr>
          <w:b w:val="0"/>
          <w:i w:val="0"/>
        </w:rPr>
        <w:t>El informe previo señaló que el paper anterior atribuía a la tesis de origen el umbral κ ≥ 0,70 como criterio normativo de aceptación del Clasificador N4, mientras que el código y los artefactos doctorales internos coinciden en κ ≥ 0,60. Era la distorsión más expuesta a falsación rápida por cualquier revisor con acceso al repositorio.</w:t>
      </w:r>
    </w:p>
    <w:p>
      <w:r>
        <w:rPr>
          <w:b w:val="0"/>
          <w:i/>
        </w:rPr>
        <w:t>Cita del paper12.docx, sección 2.1:</w:t>
      </w:r>
    </w:p>
    <w:p>
      <w:pPr>
        <w:pStyle w:val="IntenseQuote"/>
      </w:pPr>
      <w:r>
        <w:t>validada contra anotadores humanos capacitados con umbral de aceptación κ ≥ 0,60 (concordancia sustancial conforme a la convención de Landis y Koch, 1977).</w:t>
      </w:r>
    </w:p>
    <w:p>
      <w:r>
        <w:rPr>
          <w:b w:val="0"/>
          <w:i/>
        </w:rPr>
        <w:t>Cita del paper12.docx, sección 5.1:</w:t>
      </w:r>
    </w:p>
    <w:p>
      <w:pPr>
        <w:pStyle w:val="IntenseQuote"/>
      </w:pPr>
      <w:r>
        <w:t>El umbral de aceptación normativo adoptado por la tesis de origen para el Clasificador N4 sobre el CTR canónico es κ ≥ 0,60, que el presente trabajo conserva como referencia operativa para evaluar el desempeño del instrumento ex-post sobre los niveles donde la sustitución de fuente es razonable.</w:t>
      </w:r>
    </w:p>
    <w:p>
      <w:r>
        <w:rPr>
          <w:b w:val="0"/>
          <w:i/>
        </w:rPr>
        <w:t>Tabla 1 del paper12.docx:</w:t>
      </w:r>
    </w:p>
    <w:p>
      <w:pPr>
        <w:pStyle w:val="IntenseQuote"/>
      </w:pPr>
      <w:r>
        <w:t>Columna: "Cumple κ ≥ 0,60 — Anticipado: Sí" para N1, N2, N3; "Anticipado: No" para N4.</w:t>
      </w:r>
    </w:p>
    <w:p>
      <w:r>
        <w:rPr>
          <w:b w:val="0"/>
          <w:i/>
        </w:rPr>
        <w:t>Verificación contra código:</w:t>
      </w:r>
    </w:p>
    <w:p>
      <w:r>
        <w:rPr>
          <w:b w:val="0"/>
          <w:i w:val="0"/>
        </w:rPr>
        <w:t>El módulo packages/platform-ops/src/platform_ops/kappa_analysis.py declara en su línea 14 "para la tesis: el objetivo es κ ≥ 0,6 (acuerdo sustancial)". El procedimiento intercoder documentado en docs/pilot/kappa-workflow.md repite la cifra cuatro veces. La regla de negocio RN-095 de docs/specs/reglas.md la formula con la misma cifra. El paper12 está plenamente alineado. Distorsión cerrada.</w:t>
      </w:r>
    </w:p>
    <w:p>
      <w:pPr>
        <w:pStyle w:val="Heading2"/>
      </w:pPr>
      <w:r>
        <w:t>3.2 Cierre de la distorsión 4.2 — n8n en la arquitectura institucional</w:t>
      </w:r>
    </w:p>
    <w:p>
      <w:r>
        <w:rPr>
          <w:b w:val="0"/>
          <w:i w:val="0"/>
        </w:rPr>
        <w:t>El informe previo señaló que el paper anterior incluía n8n en la enumeración de la arquitectura institucional como pieza vigente, mientras que la búsqueda exhaustiva en código, infraestructura, configuración Docker, manifiestos Helm y documentación devolvía cero menciones funcionales de la herramienta.</w:t>
      </w:r>
    </w:p>
    <w:p>
      <w:r>
        <w:rPr>
          <w:b w:val="0"/>
          <w:i/>
        </w:rPr>
        <w:t>Cita del paper12.docx, sección 2.2:</w:t>
      </w:r>
    </w:p>
    <w:p>
      <w:pPr>
        <w:pStyle w:val="IntenseQuote"/>
      </w:pPr>
      <w:r>
        <w:t>La versión vigente de dicha arquitectura integra un AI-Gateway que mediatiza las interacciones con modelos de lenguaje, un almacén vectorial sobre PostgreSQL mediante la extensión pgvector que soporta la búsqueda por similitud del módulo RAG, y versionado mediante Git de los artefactos de prompts y código; la integración con orquestadores de flujos institucionales tipo n8n está prevista como agenda futura post-piloto, no como pieza desplegada en la versión inicial.</w:t>
      </w:r>
    </w:p>
    <w:p>
      <w:r>
        <w:rPr>
          <w:b w:val="0"/>
          <w:i/>
        </w:rPr>
        <w:t>Verificación contra código:</w:t>
      </w:r>
    </w:p>
    <w:p>
      <w:r>
        <w:rPr>
          <w:b w:val="0"/>
          <w:i w:val="0"/>
        </w:rPr>
        <w:t>La nueva formulación cubre simultáneamente los dos hallazgos del informe previo: marca explícitamente la prospectividad de n8n como agenda futura, y corrige la denominación genérica VectorDB por la pieza concreta efectivamente desplegada (pgvector). El código verifica esta alineación: infrastructure/docker-compose.dev.yml declara pgvector/pgvector:pg16; el ai-gateway lleva el budget por tenant, cache y fallback de proveedores; el repositorio ai-native-prompts/ versiona los prompts con manifest.yaml. Distorsiones 4.2 y 4.3 cerradas conjuntamente.</w:t>
      </w:r>
    </w:p>
    <w:p>
      <w:pPr>
        <w:pStyle w:val="Heading2"/>
      </w:pPr>
      <w:r>
        <w:t>3.3 Cierre de la distorsión 4.3 — denominación VectorDB → pgvector</w:t>
      </w:r>
    </w:p>
    <w:p>
      <w:r>
        <w:rPr>
          <w:b w:val="0"/>
          <w:i w:val="0"/>
        </w:rPr>
        <w:t>Esta distorsión quedó cerrada en la misma reformulación de la sección 2.2 citada arriba. La frase ahora identifica con precisión la extensión pgvector sobre PostgreSQL como pieza efectivamente desplegada, lo que cierra la observación menor del informe previo sobre la denominación genérica.</w:t>
      </w:r>
    </w:p>
    <w:p>
      <w:pPr>
        <w:pStyle w:val="Heading2"/>
      </w:pPr>
      <w:r>
        <w:t>3.4 Cierre de la distorsión 4.4 — sobreuso intencional como guardarraíl prevenido</w:t>
      </w:r>
    </w:p>
    <w:p>
      <w:r>
        <w:rPr>
          <w:b w:val="0"/>
          <w:i w:val="0"/>
        </w:rPr>
        <w:t>El informe previo señaló que el paper anterior presentaba al sobreuso intencional como comportamiento prevenido por los guardarraíles, mientras que el código de apps/tutor-service/src/tutor_service/services/guardrails.py implementa cinco categorías activas (jailbreak_indirect, jailbreak_substitution, jailbreak_fiction, persuasion_urgency, prompt_injection) sin cobertura sobre overuse.</w:t>
      </w:r>
    </w:p>
    <w:p>
      <w:r>
        <w:rPr>
          <w:b w:val="0"/>
          <w:i/>
        </w:rPr>
        <w:t>Cita del paper12.docx, sección 2.1:</w:t>
      </w:r>
    </w:p>
    <w:p>
      <w:pPr>
        <w:pStyle w:val="IntenseQuote"/>
      </w:pPr>
      <w:r>
        <w:t>La versión vigente del sistema cubre intentos de jailbreak (cambio de rol, override directo del prompt del sistema, marcos ficcionales ambiguos), inyección por markup y persuasión indebida al tutor mediante manipulación emocional; la detección de sobreuso intencional, que requiere ventana temporal cross-prompt sobre el mismo episodio, queda como agenda futura del régimen de guardarraíles.</w:t>
      </w:r>
    </w:p>
    <w:p>
      <w:r>
        <w:rPr>
          <w:b w:val="0"/>
          <w:i/>
        </w:rPr>
        <w:t>Verificación contra código:</w:t>
      </w:r>
    </w:p>
    <w:p>
      <w:r>
        <w:rPr>
          <w:b w:val="0"/>
          <w:i w:val="0"/>
        </w:rPr>
        <w:t>La nueva formulación es sustantivamente fiel al docstring del módulo guardrails.py, líneas 21-22: "overuse (Sección 8.5.3) NO en v1.x — requiere ventana cross-prompt". La correspondencia entre las cinco categorías nombradas en paper12 y las cinco del código es uno-a-uno: "cambio de rol" → jailbreak_indirect; "override directo del prompt del sistema" → jailbreak_substitution; "marcos ficcionales ambiguos" → jailbreak_fiction; "inyección por markup" → prompt_injection; "manipulación emocional" → persuasion_urgency. Distorsión cerrada.</w:t>
      </w:r>
    </w:p>
    <w:p>
      <w:pPr>
        <w:pStyle w:val="Heading2"/>
      </w:pPr>
      <w:r>
        <w:t>3.5 Cierre de la distorsión 4.5 — output del Clasificador N4</w:t>
      </w:r>
    </w:p>
    <w:p>
      <w:r>
        <w:rPr>
          <w:b w:val="0"/>
          <w:i w:val="0"/>
        </w:rPr>
        <w:t>El informe previo señaló que el paper anterior caracterizaba al Clasificador N4 como productor de "clasificaciones por nivel del modelo", lectura ambigua que sugería que el output eran etiquetas N1 a N4. La realidad del código es que el clasificador produce clasificaciones de apropiación cognitiva sobre escala ordinal de tres categorías (delegacion_pasiva, apropiacion_superficial, apropiacion_reflexiva), y que el componente que produce etiquetas N1-N4 es distinto: el etiquetador de eventos.</w:t>
      </w:r>
    </w:p>
    <w:p>
      <w:r>
        <w:rPr>
          <w:b w:val="0"/>
          <w:i/>
        </w:rPr>
        <w:t>Cita del paper12.docx, sección 2.1:</w:t>
      </w:r>
    </w:p>
    <w:p>
      <w:pPr>
        <w:pStyle w:val="IntenseQuote"/>
      </w:pPr>
      <w:r>
        <w:t>Cada evento del CTR puede ser etiquetado por nivel analítico (N1, N2, N3 o N4) o como meta —para eventos de operación del registro tales como apertura, cierre o abandono de episodio— mediante un etiquetador de eventos basado en reglas de primer orden, separado arquitectónicamente del clasificador y disponible como función pura para los consumidores del CTR (analítica, dashboards, flujo del docente). Tercero, el Clasificador N4: el componente técnico que opera sobre tramos del CTR cuyos eventos pueden ser etiquetados por nivel mediante el etiquetador antes mencionado, y produce, sobre cada episodio, una clasificación de apropiación cognitiva sobre escala ordinal de tres categorías —delegación pasiva, apropiación superficial, apropiación reflexiva—, validada contra anotadores humanos capacitados con umbral de aceptación κ ≥ 0,60.</w:t>
      </w:r>
    </w:p>
    <w:p>
      <w:r>
        <w:rPr>
          <w:b w:val="0"/>
          <w:i/>
        </w:rPr>
        <w:t>Verificación contra código:</w:t>
      </w:r>
    </w:p>
    <w:p>
      <w:r>
        <w:rPr>
          <w:b w:val="0"/>
          <w:i w:val="0"/>
        </w:rPr>
        <w:t>La nueva formulación recupera la estructura real de la pipeline. La separación arquitectónica entre etiquetador y clasificador está documentada en ADR-020 ("n_level es derivado en lectura, NUNCA almacenado en payload") y materializada en apps/classifier-service/src/classifier_service/services/event_labeler.py, cuyo docstring línea 1 declara "Etiquetador de eventos por nivel analítico N1-N4 (componente C3.2 de la tesis)" y línea 13 confirma la categoría meta para apertura/cierre/abandono. El etiquetador es función pura: la firma label_event(event_type, payload, context=None) opera sin estado externo, en correspondencia directa con la formulación del paper. Las tres categorías de apropiación nombradas (delegación pasiva, apropiación superficial, apropiación reflexiva) coinciden uno-a-uno con el árbol de decisión de apps/classifier-service/src/classifier_service/services/tree.py y con la enum APPROPRIATION_ORDINAL implícita en los tests de aggregation. Distorsión cerrada.</w:t>
      </w:r>
    </w:p>
    <w:p>
      <w:pPr>
        <w:pStyle w:val="Heading2"/>
      </w:pPr>
      <w:r>
        <w:t>3.6 Cierre de la distorsión 4.6 — captura de "código aceptado con origen del propio tutor"</w:t>
      </w:r>
    </w:p>
    <w:p>
      <w:r>
        <w:rPr>
          <w:b w:val="0"/>
          <w:i w:val="0"/>
        </w:rPr>
        <w:t>El informe previo señaló como distorsión menor que el paper anterior afirmaba que las evidencias canónicas de N4 incluían "código aceptado con origen externo" como observable plenamente operativo del CTR, cuando en realidad la rama "copied_from_tutor" del campo origin estaba parcialmente operacional al cierre de la versión inicial (afordancia UX diferida en ADR-026).</w:t>
      </w:r>
    </w:p>
    <w:p>
      <w:r>
        <w:rPr>
          <w:b w:val="0"/>
          <w:i/>
        </w:rPr>
        <w:t>Cita del paper12.docx, sección 3 (fase 1):</w:t>
      </w:r>
    </w:p>
    <w:p>
      <w:pPr>
        <w:pStyle w:val="IntenseQuote"/>
      </w:pPr>
      <w:r>
        <w:t>Para N4 se reconoce desde el diseño una limitación estructural: el repositorio no contiene los eventos canónicos de interacción con IA que la fuente CTR registra en el sistema AI-Native (prompts enviados, respuestas del tutor, código aceptado con marca de origen, sea proveniente del propio tutor o de una fuente externa al perímetro del sistema); incluso dentro del sistema AI-Native, la captura de la rama "código aceptado con origen del propio tutor" depende de afordancias UX cuya implementación está parcialmente operacional al cierre de la versión inicial.</w:t>
      </w:r>
    </w:p>
    <w:p>
      <w:r>
        <w:rPr>
          <w:b w:val="0"/>
          <w:i/>
        </w:rPr>
        <w:t>Verificación contra código:</w:t>
      </w:r>
    </w:p>
    <w:p>
      <w:r>
        <w:rPr>
          <w:b w:val="0"/>
          <w:i w:val="0"/>
        </w:rPr>
        <w:t>La nueva formulación añade la nota explícita sobre la operacionalidad parcial de la rama copied_from_tutor, en correspondencia con el contrato packages/contracts/src/platform_contracts/ctr/events.py:147-149 que declara el campo origin: Literal["student_typed", "copied_from_tutor", "pasted_external"] | None y con la situación documentada en docs/research/audi2.md y docs/SESSION-LOG.md. Distorsión cerrada.</w:t>
      </w:r>
    </w:p>
    <w:p>
      <w:pPr>
        <w:pStyle w:val="Heading1"/>
      </w:pPr>
      <w:r>
        <w:t>4. Auditoría fresca sobre afirmaciones nuevas o no tratadas previamente</w:t>
      </w:r>
    </w:p>
    <w:p>
      <w:r>
        <w:rPr>
          <w:b w:val="0"/>
          <w:i w:val="0"/>
        </w:rPr>
        <w:t>La reescritura de paper12 es relativamente extensa, especialmente en las secciones 2.1, 2.2, 5 y 6, que se reorganizaron en torno al esquema explícito de cinco hipótesis HP1 a HP5 con tabla de combinaciones falsables. La auditoría fresca verificó las afirmaciones técnicas agregadas o reformuladas en estas secciones contra el código vigente.</w:t>
      </w:r>
    </w:p>
    <w:p>
      <w:pPr>
        <w:pStyle w:val="Heading2"/>
      </w:pPr>
      <w:r>
        <w:t>4.1 Numeración HP del paper vs H de la tesis</w:t>
      </w:r>
    </w:p>
    <w:p>
      <w:r>
        <w:rPr>
          <w:b w:val="0"/>
          <w:i w:val="0"/>
        </w:rPr>
        <w:t>El paper12 introduce explícitamente la convención de prefijar las hipótesis del paper con HP ("hipótesis del paper") para distinguirlas de las hipótesis H de la tesis. La sección 5 dedica un párrafo a justificar la decisión:</w:t>
      </w:r>
    </w:p>
    <w:p>
      <w:pPr>
        <w:pStyle w:val="IntenseQuote"/>
      </w:pPr>
      <w:r>
        <w:t>Una nota terminológica antes de presentar las hipótesis. La tesis de origen formula tres hipótesis sobre el Clasificador N4 operando sobre el CTR completo. Para evitar colisión tipográfica con dichas hipótesis y para preservar la trazabilidad de cada afirmación a su origen, las hipótesis del presente paper se identifican con prefijo HP (hipótesis del paper) y se numeran de forma independiente: HP1 a HP5.</w:t>
      </w:r>
    </w:p>
    <w:p>
      <w:r>
        <w:rPr>
          <w:b w:val="0"/>
          <w:i w:val="0"/>
        </w:rPr>
        <w:t>Esta decisión es metodológicamente correcta y resuelve un problema potencial de ambigüedad tipográfica. La verificación contra el código no aplica directamente (es una decisión de redacción del paper), pero la decisión es coherente con el principio doctoral de trazabilidad de cada afirmación a su origen documentado. Alineada.</w:t>
      </w:r>
    </w:p>
    <w:p>
      <w:pPr>
        <w:pStyle w:val="Heading2"/>
      </w:pPr>
      <w:r>
        <w:t>4.2 Tamaño mínimo de cincuenta episodios cerrados de la tesis</w:t>
      </w:r>
    </w:p>
    <w:p>
      <w:r>
        <w:rPr>
          <w:b w:val="0"/>
          <w:i/>
        </w:rPr>
        <w:t>Cita del paper12.docx, sección 3 (nota metodológica sobre unidad de análisis):</w:t>
      </w:r>
    </w:p>
    <w:p>
      <w:pPr>
        <w:pStyle w:val="IntenseQuote"/>
      </w:pPr>
      <w:r>
        <w:t>La tesis de origen establece, para la validación canónica del Clasificador N4 sobre el CTR, un tamaño mínimo de cincuenta episodios cerrados, conforme al protocolo intercoder vigente que regula la validación de la concordancia entre anotadores humanos sobre eventos del CTR estratificados por nivel.</w:t>
      </w:r>
    </w:p>
    <w:p>
      <w:r>
        <w:rPr>
          <w:b w:val="0"/>
          <w:i/>
        </w:rPr>
        <w:t>Verificación contra código:</w:t>
      </w:r>
    </w:p>
    <w:p>
      <w:r>
        <w:rPr>
          <w:b w:val="0"/>
          <w:i w:val="0"/>
        </w:rPr>
        <w:t>docs/servicios/analytics-service.md línea 119 confirma la cifra: "la meta de la tesis es κ ≥ 0.6 contra etiquetado intercoder de dos docentes sobre 50 episodios". El procedimiento documentado en docs/pilot/kappa-workflow.md también opera sobre la misma magnitud de muestra. El paper12 además aclara explícitamente que la unidad de análisis del estudio TUPAD es el repositorio agregado y no el episodio del CTR, lo que justifica el n=30 sin afirmar equivalencia con la métrica de la tesis. Alineada.</w:t>
      </w:r>
    </w:p>
    <w:p>
      <w:pPr>
        <w:pStyle w:val="Heading2"/>
      </w:pPr>
      <w:r>
        <w:t>4.3 Articulación constitutiva entre tutor socrático, CTR y Clasificador N4</w:t>
      </w:r>
    </w:p>
    <w:p>
      <w:r>
        <w:rPr>
          <w:b w:val="0"/>
          <w:i/>
        </w:rPr>
        <w:t>Cita del paper12.docx, sección 2.1:</w:t>
      </w:r>
    </w:p>
    <w:p>
      <w:pPr>
        <w:pStyle w:val="IntenseQuote"/>
      </w:pPr>
      <w:r>
        <w:t>La articulación constitutiva entre las tres piezas es lo que la tesis sostiene como condición de la gobernanza efectiva: ninguna pieza implementada de manera aislada produce el régimen completo. El presente paper opera sobre la limitación de despliegue: en contextos donde el sistema AI-Native completo no está disponible, el tutor socrático y el CTR no son accesibles, y solo queda el repositorio de código como evidencia residual del proceso.</w:t>
      </w:r>
    </w:p>
    <w:p>
      <w:r>
        <w:rPr>
          <w:b w:val="0"/>
          <w:i/>
        </w:rPr>
        <w:t>Verificación contra código:</w:t>
      </w:r>
    </w:p>
    <w:p>
      <w:r>
        <w:rPr>
          <w:b w:val="0"/>
          <w:i w:val="0"/>
        </w:rPr>
        <w:t>La caracterización de las tres piezas como articuladas y mutuamente dependientes coincide con la organización efectiva del repositorio: el tutor-service produce eventos que el ctr-service persiste y encadena criptográficamente, y el classifier-service consume tramos del CTR para producir clasificaciones. La sección "Arquitectura en dos planos" del CLAUDE.md explicita la división plano académico-operacional / plano pedagógico-evaluativo y el carácter transversal del api-gateway y el ai-gateway. La afirmación del paper es fiel a la realidad del código. Alineada.</w:t>
      </w:r>
    </w:p>
    <w:p>
      <w:pPr>
        <w:pStyle w:val="Heading2"/>
      </w:pPr>
      <w:r>
        <w:t>4.4 Caracterización del módulo semántico del instrumento</w:t>
      </w:r>
    </w:p>
    <w:p>
      <w:r>
        <w:rPr>
          <w:b w:val="0"/>
          <w:i/>
        </w:rPr>
        <w:t>Cita del paper12.docx, sección 4:</w:t>
      </w:r>
    </w:p>
    <w:p>
      <w:pPr>
        <w:pStyle w:val="IntenseQuote"/>
      </w:pPr>
      <w:r>
        <w:t>El módulo semántico utiliza un modelo de lenguaje (Anthropic, 2026) como anotador cualitativo de primera línea sobre el contenido textual del repositorio... La versión específica del modelo subyacente, los hash SHA-256 de los cuatro prompts versionados y el seed de la generación se fijarán formalmente al inicio de la fase 5 y se documentarán en el repositorio del estudio... Los parámetros operativos comprometidos al cierre del paper son: temperatura 0,2 y modelo de la familia Claude Sonnet 4.x de Anthropic.</w:t>
      </w:r>
    </w:p>
    <w:p>
      <w:r>
        <w:rPr>
          <w:b w:val="0"/>
          <w:i/>
        </w:rPr>
        <w:t>Verificación contra código:</w:t>
      </w:r>
    </w:p>
    <w:p>
      <w:r>
        <w:rPr>
          <w:b w:val="0"/>
          <w:i w:val="0"/>
        </w:rPr>
        <w:t>La elección de la familia Claude Sonnet 4.x como modelo operativo es consistente con la dependencia anthropic del ai-gateway y con los modelos claude-sonnet-4-6 que figuran en tests de proveedores. El compromiso explícito de temperatura 0,2 es razonable para tareas de anotación cualitativa donde la determinismidad parcial es preferible. La nota sobre fijación del hash SHA-256 de prompts y seed al inicio de la fase 5 es coherente con el principio general de explicitación obligatoria de versión que la tesis de origen prescribe (materializado en el campo prompt_system_hash de cada evento del CTR). Alineada como compromiso prospectivo verificable en la fase 5.</w:t>
      </w:r>
    </w:p>
    <w:p>
      <w:pPr>
        <w:pStyle w:val="Heading2"/>
      </w:pPr>
      <w:r>
        <w:t>4.5 Distinción entre prompts del módulo semántico y prompt del tutor socrático</w:t>
      </w:r>
    </w:p>
    <w:p>
      <w:r>
        <w:rPr>
          <w:b w:val="0"/>
          <w:i/>
        </w:rPr>
        <w:t>Cita del paper12.docx, sección 4:</w:t>
      </w:r>
    </w:p>
    <w:p>
      <w:pPr>
        <w:pStyle w:val="IntenseQuote"/>
      </w:pPr>
      <w:r>
        <w:t>Conviene aclarar que los prompts del módulo semántico son distintos del prompt del sistema del tutor socrático del sistema AI-Native: aquellos operan sobre repositorios de código entregados, este último opera sobre la interacción tutor-estudiante en tiempo real.</w:t>
      </w:r>
    </w:p>
    <w:p>
      <w:r>
        <w:rPr>
          <w:b w:val="0"/>
          <w:i/>
        </w:rPr>
        <w:t>Verificación contra código:</w:t>
      </w:r>
    </w:p>
    <w:p>
      <w:r>
        <w:rPr>
          <w:b w:val="0"/>
          <w:i w:val="0"/>
        </w:rPr>
        <w:t>La aclaración explícita es metodológicamente importante: previene la confusión de un revisor que pudiera interpretar que el instrumento ex-post reutiliza el prompt del tutor. La distinción es coherente con la arquitectura: el prompt del tutor vive en ai-native-prompts/prompts/tutor/v1.0.0/system.md, viaja por prompt_system_hash en cada evento del CTR, y opera mediante el componente governance-service. Los hipotéticos prompts del módulo semántico del instrumento son artefactos separados del estudio TUPAD, no instanciados en este repositorio. Alineada.</w:t>
      </w:r>
    </w:p>
    <w:p>
      <w:pPr>
        <w:pStyle w:val="Heading2"/>
      </w:pPr>
      <w:r>
        <w:t>4.6 Tabla 2 de combinaciones falsables HP1×HP2</w:t>
      </w:r>
    </w:p>
    <w:p>
      <w:r>
        <w:rPr>
          <w:b w:val="0"/>
          <w:i w:val="0"/>
        </w:rPr>
        <w:t>El paper12 incorpora una Tabla 2 con las cuatro combinaciones posibles de resultados sobre HP1 y HP2, cada una con su implicación interpretativa explícita. La sección 5.5 lo encuadra como protección metodológica contra el sesgo de confirmación:</w:t>
      </w:r>
    </w:p>
    <w:p>
      <w:pPr>
        <w:pStyle w:val="IntenseQuote"/>
      </w:pPr>
      <w:r>
        <w:t>La explicitación previa de las cuatro combinaciones es metodológicamente importante porque protege la interpretación del estudio contra el sesgo de confirmación: cada combinación tiene asociada una implicación específica que deberá honrarse independientemente de cuál se observe efectivamente.</w:t>
      </w:r>
    </w:p>
    <w:p>
      <w:r>
        <w:rPr>
          <w:b w:val="0"/>
          <w:i w:val="0"/>
        </w:rPr>
        <w:t>La tabla es un agregado conceptual del paper, no verificable contra código. Su presencia fortalece la disciplina epistemológica del estudio. Alineada.</w:t>
      </w:r>
    </w:p>
    <w:p>
      <w:pPr>
        <w:pStyle w:val="Heading1"/>
      </w:pPr>
      <w:r>
        <w:t>5. Observaciones menores subsistentes</w:t>
      </w:r>
    </w:p>
    <w:p>
      <w:r>
        <w:rPr>
          <w:b w:val="0"/>
          <w:i w:val="0"/>
        </w:rPr>
        <w:t>La auditoría fresca identifica dos observaciones de carácter terminológico que no constituyen distorsiones del paper respecto del código pero que conviene dejar registradas. La primera es heredada del lenguaje de la tesis y del propio código; la segunda es una opción retórica del paper12 admisible.</w:t>
      </w:r>
    </w:p>
    <w:p>
      <w:pPr>
        <w:pStyle w:val="Heading2"/>
      </w:pPr>
      <w:r>
        <w:t>5.1 Convención laxa de "concordancia sustancial" para κ ≥ 0,60</w:t>
      </w:r>
    </w:p>
    <w:p>
      <w:r>
        <w:rPr>
          <w:b w:val="0"/>
          <w:i w:val="0"/>
        </w:rPr>
        <w:t>El paper12, en línea con el código del repositorio (kappa_analysis.py línea 14: "objetivo es κ ≥ 0,6 (acuerdo sustancial)"), trata el umbral κ ≥ 0,60 como sinónimo operativo de "concordancia sustancial" según Landis y Koch (1977). La convención original de Landis y Koch ubica el rango sustancial en [0,61–0,80] estrictamente, y el rango [0,41–0,60] como moderado. El umbral 0,60 cae técnicamente en el extremo superior del moderado, no en el sustancial. La práctica del campo, sin embargo, suele tratar 0,60 como el borde inferior aceptable de "sustancial" o como umbral sustantivo cuasi-sustancial. La inconsistencia es heredada de la convención de la tesis y del código, no introducida por el paper12. Una formulación literalmente fiel a Landis y Koch usaría "umbral mínimo sustantivo de 0,60 (borde inferior de la franja sustancial conforme a Landis y Koch, 1977)" o similar. La observación es Menor y atañe a coherencia terminológica entre el paper, el código y la literatura citada; no afecta la validez del argumento.</w:t>
      </w:r>
    </w:p>
    <w:p>
      <w:pPr>
        <w:pStyle w:val="Heading2"/>
      </w:pPr>
      <w:r>
        <w:t>5.2 Caracterización del etiquetador como "reglas de primer orden"</w:t>
      </w:r>
    </w:p>
    <w:p>
      <w:r>
        <w:rPr>
          <w:b w:val="0"/>
          <w:i w:val="0"/>
        </w:rPr>
        <w:t>El paper12 caracteriza al etiquetador de eventos como basado en "reglas de primer orden". En lógica matemática estricta, "primer orden" implica cuantificadores sobre individuos, mientras que el etiquetador implementado en event_labeler.py opera con lógica proposicional booleana sobre tipos de evento, campos del payload y ventanas temporales (ANOTACION_N1_WINDOW_SECONDS, ANOTACION_N4_WINDOW_SECONDS). En el uso informal del campo, "reglas de primer orden" suele oponerse a "modelo aprendido" o "clasificador supervisado" para denotar lógica simbólica explícita; bajo esa lectura el paper es correcto. Si el público esperado del paper incluye revisores con formación en lógica formal, la formulación más precisa sería "reglas booleanas explícitas" o "reglas determinísticas sobre tipo de evento y payload". Observación Menor; no constituye distorsión.</w:t>
      </w:r>
    </w:p>
    <w:p>
      <w:pPr>
        <w:pStyle w:val="Heading1"/>
      </w:pPr>
      <w:r>
        <w:t>6. Síntesis del alineamiento general</w:t>
      </w:r>
    </w:p>
    <w:p>
      <w:r>
        <w:rPr>
          <w:b w:val="0"/>
          <w:i w:val="0"/>
        </w:rPr>
        <w:t>El paper12.docx incorpora íntegramente las correcciones que el informe previo (caccic.md) había recomendado sobre las seis distorsiones identificadas en la versión paper.docx. La verificación es directa y reproducible: cada cita textual del paper12 corresponde uno-a-uno con la formulación del código vigente, los ADRs aceptados, el catálogo de reglas de negocio o la documentación del piloto. La distorsión más expuesta a falsación rápida del informe previo (el umbral κ ≥ 0,70 imputado a la tesis) está cerrada con la cifra correcta κ ≥ 0,60 en los tres pasajes donde aparecía.</w:t>
      </w:r>
    </w:p>
    <w:p>
      <w:r>
        <w:rPr>
          <w:b w:val="0"/>
          <w:i w:val="0"/>
        </w:rPr>
        <w:t>La auditoría fresca sobre el conjunto del paper12 no detecta distorsiones nuevas de severidad crítica o mediana. Las dos observaciones registradas en la sección 5 son de carácter terminológico, no constitutivo: la primera (κ ≥ 0,60 como "sustancial") es una convención laxa heredada de la tesis y del código, no una distorsión del paper respecto del código; la segunda ("reglas de primer orden") es una opción retórica admisible bajo el uso informal del campo.</w:t>
      </w:r>
    </w:p>
    <w:p>
      <w:r>
        <w:rPr>
          <w:b w:val="0"/>
          <w:i w:val="0"/>
        </w:rPr>
        <w:t>El instrumento ex-post articulado en tres módulos (AST, GitPython, LLM) que el paper introduce como contribución metodológica original sigue, como en la auditoría previa, sin implementación en este repositorio. El paper se cuida de declararlo así de manera explícita: la sección 7 enmarca la validación empírica como prevista para 2026 sobre 30 repositorios de la TUPAD-UTN, programa institucionalmente distinto del piloto UNSL. Esta circunscripción evita el tipo de imputación de despliegue inexistente que sí aparecía corregida en la sección 2.2 respecto de n8n.</w:t>
      </w:r>
    </w:p>
    <w:p>
      <w:r>
        <w:rPr>
          <w:b w:val="0"/>
          <w:i w:val="0"/>
        </w:rPr>
        <w:t>En conjunto, el paper12 puede presentarse a CACIC 2026 con consistencia plena entre el texto publicado y el estado verificable del código que el texto toma como contexto. No se identifican pasajes que requieran corrección obligatoria antes de la presentación pública.</w:t>
      </w:r>
    </w:p>
    <w:p>
      <w:pPr>
        <w:pStyle w:val="Heading1"/>
      </w:pPr>
      <w:r>
        <w:t>7. Recomendaciones (opcionales) para una eventual versión final</w:t>
      </w:r>
    </w:p>
    <w:p>
      <w:r>
        <w:rPr>
          <w:b w:val="0"/>
          <w:i w:val="0"/>
        </w:rPr>
        <w:t>Las dos observaciones de la sección 5 admiten ajustes opcionales que no son estrictamente necesarios pero que cerrarían la coherencia terminológica con la literatura formal de referencia.</w:t>
      </w:r>
    </w:p>
    <w:p>
      <w:r>
        <w:rPr>
          <w:b w:val="0"/>
          <w:i w:val="0"/>
        </w:rPr>
        <w:t>Primero, en la sección 2.1 del paper12, donde se define el umbral del Clasificador N4, se puede explicitar que la convención del proyecto interpreta κ ≥ 0,60 como "borde inferior aceptable de la franja sustancial" o como "umbral mínimo sustantivo conforme a la convención laxa adoptada por la tesis", para alinear con la lectura literal de Landis y Koch (1977). Esta nota deja claro que no se está malinterpretando la convención original y que la cifra 0,60 es una decisión normativa explícita del proyecto, no una lectura imprecisa de la literatura.</w:t>
      </w:r>
    </w:p>
    <w:p>
      <w:r>
        <w:rPr>
          <w:b w:val="0"/>
          <w:i w:val="0"/>
        </w:rPr>
        <w:t>Segundo, en la sección 2.1 donde se introduce el etiquetador, la formulación "reglas de primer orden" puede sustituirse por "reglas booleanas explícitas" o "reglas determinísticas sobre tipo de evento y payload" para mayor precisión técnica frente a un revisor con formación lógico-formal. La formulación actual es admisible bajo el uso informal del campo y su sustitución es opcional.</w:t>
      </w:r>
    </w:p>
    <w:p>
      <w:r>
        <w:rPr>
          <w:b w:val="0"/>
          <w:i w:val="0"/>
        </w:rPr>
        <w:t>Ambas correcciones suman, en conjunto, modificaciones del orden de dos a tres frases, no demandan ajuste del argumento conceptual ni de la estructura de hipótesis, y dejan el paper en estado de coherencia plena con el código y con la literatura citada.</w:t>
      </w:r>
    </w:p>
    <w:p>
      <w:pPr>
        <w:pStyle w:val="Heading1"/>
      </w:pPr>
      <w:r>
        <w:t>8. Cierre</w:t>
      </w:r>
    </w:p>
    <w:p>
      <w:r>
        <w:rPr>
          <w:b w:val="0"/>
          <w:i w:val="0"/>
        </w:rPr>
        <w:t>La iteración paper.docx → paper12.docx es un ejemplo claro de cierre exitoso de la deuda detectada por una auditoría previa. Las seis distorsiones identificadas en caccic.md están todas resueltas en paper12, con formulaciones que son simultáneamente fieles al código del repositorio y consistentes con la línea argumental del paper. La auditoría fresca no identifica distorsiones nuevas que requieran intervención. El paper12 está, según el cotejo realizado, en condiciones de presentarse públicamente sin necesidad de correcciones obligatorias adicionales; las dos sugerencias de la sección 7 son mejoras estilísticas opcionales.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