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02e3896ceb37004c4a1c67502ec8d82e9714c92"/>
    <w:p>
      <w:pPr>
        <w:pStyle w:val="Heading1"/>
      </w:pPr>
      <w:r>
        <w:t xml:space="preserve">Informe de cotejo: paper11.docx versus código del proyecto</w:t>
      </w:r>
    </w:p>
    <w:p>
      <w:pPr>
        <w:pStyle w:val="FirstParagraph"/>
      </w:pPr>
      <w:r>
        <w:rPr>
          <w:b/>
          <w:bCs/>
        </w:rPr>
        <w:t xml:space="preserve">Fecha del análisis</w:t>
      </w:r>
      <w:r>
        <w:t xml:space="preserve">: 2026-05-08</w:t>
      </w:r>
      <w:r>
        <w:t xml:space="preserve"> </w:t>
      </w:r>
      <w:r>
        <w:rPr>
          <w:b/>
          <w:bCs/>
        </w:rPr>
        <w:t xml:space="preserve">Documento auditado</w:t>
      </w:r>
      <w:r>
        <w:t xml:space="preserve">:</w:t>
      </w:r>
      <w:r>
        <w:t xml:space="preserve"> </w:t>
      </w:r>
      <w:r>
        <w:rPr>
          <w:rStyle w:val="VerbatimChar"/>
        </w:rPr>
        <w:t xml:space="preserve">paper11.docx</w:t>
      </w:r>
      <w:r>
        <w:t xml:space="preserve"> </w:t>
      </w:r>
      <w:r>
        <w:t xml:space="preserve">(CACIC 2026 · WTIAE; autores Cortez y Garis; 945 líneas, 7689 palabras tras extracción con pandoc).</w:t>
      </w:r>
      <w:r>
        <w:t xml:space="preserve"> </w:t>
      </w:r>
      <w:r>
        <w:rPr>
          <w:b/>
          <w:bCs/>
        </w:rPr>
        <w:t xml:space="preserve">Versión previa auditada</w:t>
      </w:r>
      <w:r>
        <w:t xml:space="preserve">:</w:t>
      </w:r>
      <w:r>
        <w:t xml:space="preserve"> </w:t>
      </w:r>
      <w:r>
        <w:rPr>
          <w:rStyle w:val="VerbatimChar"/>
        </w:rPr>
        <w:t xml:space="preserve">paper.docx</w:t>
      </w:r>
      <w:r>
        <w:t xml:space="preserve">, cuyo informe quedó documentado en</w:t>
      </w:r>
      <w:r>
        <w:t xml:space="preserve"> </w:t>
      </w:r>
      <w:r>
        <w:rPr>
          <w:rStyle w:val="VerbatimChar"/>
        </w:rPr>
        <w:t xml:space="preserve">caccic.md</w:t>
      </w:r>
      <w:r>
        <w:t xml:space="preserve"> </w:t>
      </w:r>
      <w:r>
        <w:t xml:space="preserve">del repositorio.</w:t>
      </w:r>
      <w:r>
        <w:t xml:space="preserve"> </w:t>
      </w:r>
      <w:r>
        <w:rPr>
          <w:b/>
          <w:bCs/>
        </w:rPr>
        <w:t xml:space="preserve">Repositorio auditado</w:t>
      </w:r>
      <w:r>
        <w:t xml:space="preserve">:</w:t>
      </w:r>
      <w:r>
        <w:t xml:space="preserve"> </w:t>
      </w:r>
      <w:r>
        <w:rPr>
          <w:rStyle w:val="VerbatimChar"/>
        </w:rPr>
        <w:t xml:space="preserve">AI-NativeV3-main</w:t>
      </w:r>
      <w:r>
        <w:t xml:space="preserve"> </w:t>
      </w:r>
      <w:r>
        <w:t xml:space="preserve">(rama de trabajo, commit del día).</w:t>
      </w:r>
      <w:r>
        <w:t xml:space="preserve"> </w:t>
      </w:r>
      <w:r>
        <w:rPr>
          <w:b/>
          <w:bCs/>
        </w:rPr>
        <w:t xml:space="preserve">Alcance</w:t>
      </w:r>
      <w:r>
        <w:t xml:space="preserve">: verificación bidireccional entre las afirmaciones técnicas de paper11.docx y el estado vigente del código, los ADRs aceptados, el catálogo de reglas de negocio y la bitácora de sesiones.</w:t>
      </w:r>
    </w:p>
    <w:p>
      <w:r>
        <w:pict>
          <v:rect style="width:0;height:1.5pt" o:hralign="center" o:hrstd="t" o:hr="t"/>
        </w:pict>
      </w:r>
    </w:p>
    <w:bookmarkStart w:id="9" w:name="encuadre-y-resultado-general"/>
    <w:p>
      <w:pPr>
        <w:pStyle w:val="Heading2"/>
      </w:pPr>
      <w:r>
        <w:t xml:space="preserve">1. Encuadre y resultado general</w:t>
      </w:r>
    </w:p>
    <w:p>
      <w:pPr>
        <w:pStyle w:val="FirstParagraph"/>
      </w:pPr>
      <w:r>
        <w:t xml:space="preserve">paper11.docx es la versión revisada de paper.docx que incorpora correcciones a las distorsiones señaladas en el informe</w:t>
      </w:r>
      <w:r>
        <w:t xml:space="preserve"> </w:t>
      </w:r>
      <w:r>
        <w:rPr>
          <w:rStyle w:val="VerbatimChar"/>
        </w:rPr>
        <w:t xml:space="preserve">caccic.md</w:t>
      </w:r>
      <w:r>
        <w:t xml:space="preserve">. El cotejo confirma que las cinco correcciones principales fueron implementadas con precisión, lo que deja el paper sustancialmente mejor alineado con el código que su versión anterior. Sin embargo, el cotejo detectó una distorsión nueva de severidad mediana relacionada con la cifra de la muestra mínima de validación canónica del Clasificador N4, y dos observaciones menores de orden conceptual que el autor podría considerar refinar antes del envío final. El paper, en su estado actual, no se encuentra todavía totalmente alineado al código, pero la distancia que falta cubrir es mucho menor que la que separaba a paper.docx de su versión actual.</w:t>
      </w:r>
    </w:p>
    <w:bookmarkEnd w:id="9"/>
    <w:bookmarkStart w:id="10" w:name="X5601301fa9eae4da9ec778b99eee498deef1b90"/>
    <w:p>
      <w:pPr>
        <w:pStyle w:val="Heading2"/>
      </w:pPr>
      <w:r>
        <w:t xml:space="preserve">2. Correcciones exitosas respecto del paper anterior</w:t>
      </w:r>
    </w:p>
    <w:p>
      <w:pPr>
        <w:pStyle w:val="FirstParagraph"/>
      </w:pPr>
      <w:r>
        <w:t xml:space="preserve">Antes de discutir la distorsión nueva conviene reconocer las correcciones efectivamente implementadas, porque la lectura completa de paper11 contra</w:t>
      </w:r>
      <w:r>
        <w:t xml:space="preserve"> </w:t>
      </w:r>
      <w:r>
        <w:rPr>
          <w:rStyle w:val="VerbatimChar"/>
        </w:rPr>
        <w:t xml:space="preserve">caccic.md</w:t>
      </w:r>
      <w:r>
        <w:t xml:space="preserve"> </w:t>
      </w:r>
      <w:r>
        <w:t xml:space="preserve">muestra una respuesta seria a cada uno de los puntos críticos previamente señalados. La sección 2.1 del paper, en su nueva redacción, fija el umbral de validación del Clasificador N4 en κ ≥ 0,60 (línea 216 del extracto), cifra que coincide con la documentación pública del repositorio (RN-095 en</w:t>
      </w:r>
      <w:r>
        <w:t xml:space="preserve"> </w:t>
      </w:r>
      <w:r>
        <w:rPr>
          <w:rStyle w:val="VerbatimChar"/>
        </w:rPr>
        <w:t xml:space="preserve">docs/specs/reglas.md</w:t>
      </w:r>
      <w:r>
        <w:t xml:space="preserve">, kappa-workflow.md, módulo</w:t>
      </w:r>
      <w:r>
        <w:t xml:space="preserve"> </w:t>
      </w:r>
      <w:r>
        <w:rPr>
          <w:rStyle w:val="VerbatimChar"/>
        </w:rPr>
        <w:t xml:space="preserve">kappa_analysis.py</w:t>
      </w:r>
      <w:r>
        <w:t xml:space="preserve">, vista</w:t>
      </w:r>
      <w:r>
        <w:t xml:space="preserve"> </w:t>
      </w:r>
      <w:r>
        <w:rPr>
          <w:rStyle w:val="VerbatimChar"/>
        </w:rPr>
        <w:t xml:space="preserve">KappaRatingView.tsx</w:t>
      </w:r>
      <w:r>
        <w:t xml:space="preserve">, dashboard de Grafana). La Tabla 1 del paper migra coherentemente la columna correspondiente de</w:t>
      </w:r>
      <w:r>
        <w:t xml:space="preserve"> </w:t>
      </w:r>
      <w:r>
        <w:t xml:space="preserve">“Cumple κ ≥ 0,70”</w:t>
      </w:r>
      <w:r>
        <w:t xml:space="preserve"> </w:t>
      </w:r>
      <w:r>
        <w:t xml:space="preserve">a</w:t>
      </w:r>
      <w:r>
        <w:t xml:space="preserve"> </w:t>
      </w:r>
      <w:r>
        <w:t xml:space="preserve">“Cumple κ ≥ 0,60”</w:t>
      </w:r>
      <w:r>
        <w:t xml:space="preserve"> </w:t>
      </w:r>
      <w:r>
        <w:t xml:space="preserve">y la fundamentación de HP1 en la sección 5.1 actualiza la cita normativa al mismo valor. La distorsión más crítica del paper anterior queda así cerrada con precisión.</w:t>
      </w:r>
    </w:p>
    <w:p>
      <w:pPr>
        <w:pStyle w:val="BodyText"/>
      </w:pPr>
      <w:r>
        <w:t xml:space="preserve">La sección 2.2 del paper, donde antes se enumeraba</w:t>
      </w:r>
      <w:r>
        <w:t xml:space="preserve"> </w:t>
      </w:r>
      <w:r>
        <w:t xml:space="preserve">“AI-Gateway, VectorDB, Git, n8n”</w:t>
      </w:r>
      <w:r>
        <w:t xml:space="preserve"> </w:t>
      </w:r>
      <w:r>
        <w:t xml:space="preserve">como composición vigente de la arquitectura institucional, hoy distingue lo que está desplegado de lo que está previsto. La nueva redacción habla de</w:t>
      </w:r>
      <w:r>
        <w:t xml:space="preserve"> </w:t>
      </w:r>
      <w:r>
        <w:t xml:space="preserve">“un AI-Gateway que mediatiza las interacciones con modelos de lenguaje, un almacén vectorial sobre PostgreSQL mediante la extensión pgvector que soporta la búsqueda por similitud del módulo RAG, y versionado mediante Git de los artefactos de prompts y código”</w:t>
      </w:r>
      <w:r>
        <w:t xml:space="preserve">, y agrega explícitamente que</w:t>
      </w:r>
      <w:r>
        <w:t xml:space="preserve"> </w:t>
      </w:r>
      <w:r>
        <w:t xml:space="preserve">“la integración con orquestadores de flujos institucionales tipo n8n está prevista como agenda futura post-piloto, no como pieza desplegada en la versión inicial”</w:t>
      </w:r>
      <w:r>
        <w:t xml:space="preserve">. Esta formulación es exacta: el código del repositorio incluye el</w:t>
      </w:r>
      <w:r>
        <w:t xml:space="preserve"> </w:t>
      </w:r>
      <w:r>
        <w:rPr>
          <w:rStyle w:val="VerbatimChar"/>
        </w:rPr>
        <w:t xml:space="preserve">ai-gateway</w:t>
      </w:r>
      <w:r>
        <w:t xml:space="preserve">, usa pgvector como almacén vectorial, versiona prompts mediante Git en el directorio</w:t>
      </w:r>
      <w:r>
        <w:t xml:space="preserve"> </w:t>
      </w:r>
      <w:r>
        <w:rPr>
          <w:rStyle w:val="VerbatimChar"/>
        </w:rPr>
        <w:t xml:space="preserve">ai-native-prompts/</w:t>
      </w:r>
      <w:r>
        <w:t xml:space="preserve">, y no contiene n8n ni ningún slot reservado para esa integración.</w:t>
      </w:r>
    </w:p>
    <w:p>
      <w:pPr>
        <w:pStyle w:val="BodyText"/>
      </w:pPr>
      <w:r>
        <w:t xml:space="preserve">La sección 2.1, al describir los guardarraíles del tutor socrático, ya no presenta al sobreuso intencional como categoría activa al lado del jailbreak y la persuasión. La redacción actual enumera con precisión las cinco categorías efectivamente cubiertas por el código (jailbreak por cambio de rol, jailbreak por override directo del prompt, jailbreak por marcos ficcionales ambiguos, inyección por markup, persuasión indebida mediante manipulación emocional) y declara explícitamente que</w:t>
      </w:r>
      <w:r>
        <w:t xml:space="preserve"> </w:t>
      </w:r>
      <w:r>
        <w:t xml:space="preserve">“la detección de sobreuso intencional, que requiere ventana temporal cross-prompt sobre el mismo episodio, queda como agenda futura del régimen de guardarraíles”</w:t>
      </w:r>
      <w:r>
        <w:t xml:space="preserve">. Esta redacción coincide bit a bit con el ADR-019 que gobierna la fase A de guardarraíles y con el módulo</w:t>
      </w:r>
      <w:r>
        <w:t xml:space="preserve"> </w:t>
      </w:r>
      <w:r>
        <w:rPr>
          <w:rStyle w:val="VerbatimChar"/>
        </w:rPr>
        <w:t xml:space="preserve">apps/tutor-service/src/tutor_service/services/guardrails.py</w:t>
      </w:r>
      <w:r>
        <w:t xml:space="preserve">, cuyo docstring línea 21 declara textualmente que el sobreuso requiere ventana cross-prompt y queda fuera de la versión vigente.</w:t>
      </w:r>
    </w:p>
    <w:p>
      <w:pPr>
        <w:pStyle w:val="BodyText"/>
      </w:pPr>
      <w:r>
        <w:t xml:space="preserve">La caracterización del Clasificador N4 también recibió un tratamiento más fino. El paper distingue ahora con claridad entre el etiquetador de eventos (que asigna nivel analítico N1-N4 a cada evento del CTR mediante reglas de primer orden) y el clasificador de episodio (que produce, sobre cada episodio, una clasificación de apropiación cognitiva sobre escala ordinal de tres categorías denominadas delegación pasiva, apropiación superficial y apropiación reflexiva). La separación es coherente con la arquitectura real del código: el etiquetador vive en</w:t>
      </w:r>
      <w:r>
        <w:t xml:space="preserve"> </w:t>
      </w:r>
      <w:r>
        <w:rPr>
          <w:rStyle w:val="VerbatimChar"/>
        </w:rPr>
        <w:t xml:space="preserve">apps/classifier-service/src/classifier_service/services/event_labeler.py</w:t>
      </w:r>
      <w:r>
        <w:t xml:space="preserve"> </w:t>
      </w:r>
      <w:r>
        <w:t xml:space="preserve">y declara</w:t>
      </w:r>
      <w:r>
        <w:t xml:space="preserve"> </w:t>
      </w:r>
      <w:r>
        <w:rPr>
          <w:rStyle w:val="VerbatimChar"/>
        </w:rPr>
        <w:t xml:space="preserve">NLevel = Literal["N1", "N2", "N3", "N4", "meta"]</w:t>
      </w:r>
      <w:r>
        <w:t xml:space="preserve">; el clasificador vive en</w:t>
      </w:r>
      <w:r>
        <w:t xml:space="preserve"> </w:t>
      </w:r>
      <w:r>
        <w:rPr>
          <w:rStyle w:val="VerbatimChar"/>
        </w:rPr>
        <w:t xml:space="preserve">apps/classifier-service/src/classifier_service/services/tree.py</w:t>
      </w:r>
      <w:r>
        <w:t xml:space="preserve"> </w:t>
      </w:r>
      <w:r>
        <w:t xml:space="preserve">y declara las tres categorías en su</w:t>
      </w:r>
      <w:r>
        <w:t xml:space="preserve"> </w:t>
      </w:r>
      <w:r>
        <w:rPr>
          <w:rStyle w:val="VerbatimChar"/>
        </w:rPr>
        <w:t xml:space="preserve">ClassificationResult.appropriation</w:t>
      </w:r>
      <w:r>
        <w:t xml:space="preserve">. La versión anterior del paper presentaba al Clasificador N4 como productor de</w:t>
      </w:r>
      <w:r>
        <w:t xml:space="preserve"> </w:t>
      </w:r>
      <w:r>
        <w:t xml:space="preserve">“clasificaciones por nivel del modelo”</w:t>
      </w:r>
      <w:r>
        <w:t xml:space="preserve">, redacción que un lector razonablemente informado interpretaría como salida en N1-N4. La redacción actual cierra esa ambigüedad sin perder densidad conceptual.</w:t>
      </w:r>
    </w:p>
    <w:p>
      <w:pPr>
        <w:pStyle w:val="BodyText"/>
      </w:pPr>
      <w:r>
        <w:t xml:space="preserve">Finalmente, el reconocimiento del estado parcial de la captura de</w:t>
      </w:r>
      <w:r>
        <w:t xml:space="preserve"> </w:t>
      </w:r>
      <w:r>
        <w:t xml:space="preserve">“código aceptado con origen del propio tutor”</w:t>
      </w:r>
      <w:r>
        <w:t xml:space="preserve"> </w:t>
      </w:r>
      <w:r>
        <w:t xml:space="preserve">(sección 3, fase 1) es honesto y técnicamente preciso. El paper reconoce que</w:t>
      </w:r>
      <w:r>
        <w:t xml:space="preserve"> </w:t>
      </w:r>
      <w:r>
        <w:t xml:space="preserve">“incluso dentro del sistema AI-Native, la captura de la rama</w:t>
      </w:r>
      <w:r>
        <w:t xml:space="preserve"> </w:t>
      </w:r>
      <w:r>
        <w:t xml:space="preserve">‘código aceptado con origen del propio tutor’</w:t>
      </w:r>
      <w:r>
        <w:t xml:space="preserve"> </w:t>
      </w:r>
      <w:r>
        <w:t xml:space="preserve">depende de afordancias UX cuya implementación está parcialmente operacional al cierre de la versión inicial”</w:t>
      </w:r>
      <w:r>
        <w:t xml:space="preserve">, afirmación que coincide con el estado del campo</w:t>
      </w:r>
      <w:r>
        <w:t xml:space="preserve"> </w:t>
      </w:r>
      <w:r>
        <w:rPr>
          <w:rStyle w:val="VerbatimChar"/>
        </w:rPr>
        <w:t xml:space="preserve">origin: Literal["student_typed", "copied_from_tutor", "pasted_external"]</w:t>
      </w:r>
      <w:r>
        <w:t xml:space="preserve"> </w:t>
      </w:r>
      <w:r>
        <w:t xml:space="preserve">declarado en el contrato pero cuya rama</w:t>
      </w:r>
      <w:r>
        <w:t xml:space="preserve"> </w:t>
      </w:r>
      <w:r>
        <w:rPr>
          <w:rStyle w:val="VerbatimChar"/>
        </w:rPr>
        <w:t xml:space="preserve">copied_from_tutor</w:t>
      </w:r>
      <w:r>
        <w:t xml:space="preserve"> </w:t>
      </w:r>
      <w:r>
        <w:t xml:space="preserve">no se emite en runtime al estar diferida al ADR-026 / G11. Esta es la formulación que</w:t>
      </w:r>
      <w:r>
        <w:t xml:space="preserve"> </w:t>
      </w:r>
      <w:r>
        <w:rPr>
          <w:rStyle w:val="VerbatimChar"/>
        </w:rPr>
        <w:t xml:space="preserve">caccic.md</w:t>
      </w:r>
      <w:r>
        <w:t xml:space="preserve"> </w:t>
      </w:r>
      <w:r>
        <w:t xml:space="preserve">había sugerido en su sección 4.6 y queda incorporada con fidelidad.</w:t>
      </w:r>
    </w:p>
    <w:bookmarkEnd w:id="10"/>
    <w:bookmarkStart w:id="11" w:name="distorsión-nueva-detectada"/>
    <w:p>
      <w:pPr>
        <w:pStyle w:val="Heading2"/>
      </w:pPr>
      <w:r>
        <w:t xml:space="preserve">3. Distorsión nueva detectada</w:t>
      </w:r>
    </w:p>
    <w:p>
      <w:pPr>
        <w:pStyle w:val="FirstParagraph"/>
      </w:pPr>
      <w:r>
        <w:t xml:space="preserve">La sección 3 del paper, en la nota metodológica sobre la unidad de análisis del estudio, sostiene una afirmación específica sobre la tesis de origen que merece examen detenido. El texto del paper afirma textualmente:</w:t>
      </w:r>
      <w:r>
        <w:t xml:space="preserve"> </w:t>
      </w:r>
      <w:r>
        <w:t xml:space="preserve">“La tesis de origen establece, para la validación canónica del Clasificador N4, un tamaño mínimo de doscientos eventos del CTR estratificados por nivel”</w:t>
      </w:r>
      <w:r>
        <w:t xml:space="preserve">. La cifra de doscientos eventos, presentada con tono de cita textual de la tesis, no encuentra correlato en ningún artefacto del repositorio.</w:t>
      </w:r>
    </w:p>
    <w:p>
      <w:pPr>
        <w:pStyle w:val="BodyText"/>
      </w:pPr>
      <w:r>
        <w:t xml:space="preserve">El procedimiento canónico de validación del Clasificador N4 que efectivamente vive en el repositorio se documenta en</w:t>
      </w:r>
      <w:r>
        <w:t xml:space="preserve"> </w:t>
      </w:r>
      <w:r>
        <w:rPr>
          <w:rStyle w:val="VerbatimChar"/>
        </w:rPr>
        <w:t xml:space="preserve">docs/pilot/kappa-workflow.md</w:t>
      </w:r>
      <w:r>
        <w:t xml:space="preserve">. Ese documento, que constituye la fuente operativa de la validación intercoder y que el módulo</w:t>
      </w:r>
      <w:r>
        <w:t xml:space="preserve"> </w:t>
      </w:r>
      <w:r>
        <w:rPr>
          <w:rStyle w:val="VerbatimChar"/>
        </w:rPr>
        <w:t xml:space="preserve">apps/web-teacher/src/views/KappaRatingView.tsx</w:t>
      </w:r>
      <w:r>
        <w:t xml:space="preserve"> </w:t>
      </w:r>
      <w:r>
        <w:t xml:space="preserve">materializa en interfaz para el docente, establece un tamaño mínimo distinto. La línea 14 del workflow declara como precondición</w:t>
      </w:r>
      <w:r>
        <w:t xml:space="preserve"> </w:t>
      </w:r>
      <w:r>
        <w:t xml:space="preserve">“≥ 50 episodios en estado closed”</w:t>
      </w:r>
      <w:r>
        <w:t xml:space="preserve">. La línea 21 declara textualmente:</w:t>
      </w:r>
      <w:r>
        <w:t xml:space="preserve"> </w:t>
      </w:r>
      <w:r>
        <w:t xml:space="preserve">“Tamaño: 50 episodios (mínimo del protocolo §4.3; subir a 60–80 si hay desbalance fuerte de clases)”</w:t>
      </w:r>
      <w:r>
        <w:t xml:space="preserve">. La línea 32 calcula el presupuesto operativo sobre 50 episodios:</w:t>
      </w:r>
      <w:r>
        <w:t xml:space="preserve"> </w:t>
      </w:r>
      <w:r>
        <w:t xml:space="preserve">“5–10 min por episodio. 50 episodios ≈ 5–8 hs por docente; partir en 2 sesiones”</w:t>
      </w:r>
      <w:r>
        <w:t xml:space="preserve">. La línea 102 del mismo documento, en el procedimiento de recalibración cuando κ cae en el tramo inferior al sustancial, prescribe</w:t>
      </w:r>
      <w:r>
        <w:t xml:space="preserve"> </w:t>
      </w:r>
      <w:r>
        <w:t xml:space="preserve">“muestrear 50 episodios distintos”</w:t>
      </w:r>
      <w:r>
        <w:t xml:space="preserve">. La cifra normativa del repositorio es 50 episodios, no 200 eventos.</w:t>
      </w:r>
    </w:p>
    <w:p>
      <w:pPr>
        <w:pStyle w:val="BodyText"/>
      </w:pPr>
      <w:r>
        <w:t xml:space="preserve">La búsqueda exhaustiva de la cifra</w:t>
      </w:r>
      <w:r>
        <w:t xml:space="preserve"> </w:t>
      </w:r>
      <w:r>
        <w:t xml:space="preserve">“doscientos”</w:t>
      </w:r>
      <w:r>
        <w:t xml:space="preserve"> </w:t>
      </w:r>
      <w:r>
        <w:t xml:space="preserve">o</w:t>
      </w:r>
      <w:r>
        <w:t xml:space="preserve"> </w:t>
      </w:r>
      <w:r>
        <w:t xml:space="preserve">“200 eventos”</w:t>
      </w:r>
      <w:r>
        <w:t xml:space="preserve"> </w:t>
      </w:r>
      <w:r>
        <w:t xml:space="preserve">en todo el repositorio (incluyendo</w:t>
      </w:r>
      <w:r>
        <w:t xml:space="preserve"> </w:t>
      </w:r>
      <w:r>
        <w:rPr>
          <w:rStyle w:val="VerbatimChar"/>
        </w:rPr>
        <w:t xml:space="preserve">CLAUDE.md</w:t>
      </w:r>
      <w:r>
        <w:t xml:space="preserve">,</w:t>
      </w:r>
      <w:r>
        <w:t xml:space="preserve"> </w:t>
      </w:r>
      <w:r>
        <w:rPr>
          <w:rStyle w:val="VerbatimChar"/>
        </w:rPr>
        <w:t xml:space="preserve">docs/specs/reglas.md</w:t>
      </w:r>
      <w:r>
        <w:t xml:space="preserve">,</w:t>
      </w:r>
      <w:r>
        <w:t xml:space="preserve"> </w:t>
      </w:r>
      <w:r>
        <w:rPr>
          <w:rStyle w:val="VerbatimChar"/>
        </w:rPr>
        <w:t xml:space="preserve">docs/specs/historias.md</w:t>
      </w:r>
      <w:r>
        <w:t xml:space="preserve">, los 43 ADRs numerados,</w:t>
      </w:r>
      <w:r>
        <w:t xml:space="preserve"> </w:t>
      </w:r>
      <w:r>
        <w:rPr>
          <w:rStyle w:val="VerbatimChar"/>
        </w:rPr>
        <w:t xml:space="preserve">docs/SESSION-LOG.md</w:t>
      </w:r>
      <w:r>
        <w:t xml:space="preserve">, los archivos de fase F0-F9 y la documentación de servicios) no produce ninguna coincidencia en el sentido reclamado por el paper. Las únicas apariciones del número 200 en el repositorio son ajenas al constructo: el ADR-032, en su línea 77, fija como criterio cuantitativo de revisita del ML predictivo diferido a piloto-2 un dataset etiquetado mínimo de</w:t>
      </w:r>
      <w:r>
        <w:t xml:space="preserve"> </w:t>
      </w:r>
      <w:r>
        <w:t xml:space="preserve">“≥200 estudiantes con trayectos de ≥10 episodios cerrados completos”</w:t>
      </w:r>
      <w:r>
        <w:t xml:space="preserve">, pero esa cifra refiere a estudiantes y no a eventos del CTR, refiere a la viabilidad de un modelo predictivo individual diferido y no a la validación canónica del Clasificador N4 vigente, y refiere a una decisión que el repositorio declara explícitamente como agenda piloto-2. La distancia entre lo que el paper afirma y lo que el repositorio documenta es por tanto sustantiva: el paper habla de eventos, el repositorio habla de estudiantes; el paper habla de la validación del Clasificador N4 vigente, el repositorio habla del entrenamiento de un modelo ML diferido; el paper habla de doscientos, el repositorio habla de cincuenta como mínimo del protocolo intercoder.</w:t>
      </w:r>
    </w:p>
    <w:p>
      <w:pPr>
        <w:pStyle w:val="BodyText"/>
      </w:pPr>
      <w:r>
        <w:t xml:space="preserve">Esta distorsión se clasifica como</w:t>
      </w:r>
      <w:r>
        <w:t xml:space="preserve"> </w:t>
      </w:r>
      <w:r>
        <w:rPr>
          <w:b/>
          <w:bCs/>
        </w:rPr>
        <w:t xml:space="preserve">mediana</w:t>
      </w:r>
      <w:r>
        <w:t xml:space="preserve"> </w:t>
      </w:r>
      <w:r>
        <w:t xml:space="preserve">porque se refiere a una afirmación sobre la tesis de origen, no sobre el estado del código directamente, y porque la verificación rigurosa requeriría acceso al manuscrito vigente de la tesis (que no es parte de este repositorio). Existen dos hipótesis explicativas sobre el origen de la cifra. La primera es que una versión preliminar de la tesis efectivamente proponía doscientos eventos como tamaño de validación canónica y el paper recoge esa cifra de un estado anterior del manuscrito; bajo esta hipótesis la corrección requerida es trivial: actualizar la cifra a la del protocolo vigente (50 episodios) o aclarar la versión específica de la tesis que se está citando. La segunda es que la cifra resulta de una confusión con el ADR-032 sobre ML predictivo diferido, donde</w:t>
      </w:r>
      <w:r>
        <w:t xml:space="preserve"> </w:t>
      </w:r>
      <w:r>
        <w:t xml:space="preserve">“200 estudiantes”</w:t>
      </w:r>
      <w:r>
        <w:t xml:space="preserve"> </w:t>
      </w:r>
      <w:r>
        <w:t xml:space="preserve">se transforma por error en</w:t>
      </w:r>
      <w:r>
        <w:t xml:space="preserve"> </w:t>
      </w:r>
      <w:r>
        <w:t xml:space="preserve">“200 eventos del CTR estratificados por nivel”</w:t>
      </w:r>
      <w:r>
        <w:t xml:space="preserve">; bajo esta hipótesis la corrección consiste en sustituir la cifra por la verdaderamente normativa según el</w:t>
      </w:r>
      <w:r>
        <w:t xml:space="preserve"> </w:t>
      </w:r>
      <w:r>
        <w:rPr>
          <w:rStyle w:val="VerbatimChar"/>
        </w:rPr>
        <w:t xml:space="preserve">kappa-workflow.md</w:t>
      </w:r>
      <w:r>
        <w:t xml:space="preserve">. En cualquiera de las dos hipótesis, la afirmación tal como está redactada en el paper queda expuesta a un revisor que decida verificar el repositorio público: la búsqueda no encuentra la cifra y encuentra una distinta como normativa.</w:t>
      </w:r>
    </w:p>
    <w:p>
      <w:pPr>
        <w:pStyle w:val="BodyText"/>
      </w:pPr>
      <w:r>
        <w:t xml:space="preserve">La consecuencia argumentativa de la distorsión es relevante porque el paper, inmediatamente después de citar los doscientos eventos, sostiene que</w:t>
      </w:r>
      <w:r>
        <w:t xml:space="preserve"> </w:t>
      </w:r>
      <w:r>
        <w:t xml:space="preserve">“el n = 30 del presente estudio corresponde a la cantidad de repositorios procesados”</w:t>
      </w:r>
      <w:r>
        <w:t xml:space="preserve"> </w:t>
      </w:r>
      <w:r>
        <w:t xml:space="preserve">y argumenta que</w:t>
      </w:r>
      <w:r>
        <w:t xml:space="preserve"> </w:t>
      </w:r>
      <w:r>
        <w:t xml:space="preserve">“la equivalencia aproximada en términos de la métrica de la tesis es indirecta y no se afirma”</w:t>
      </w:r>
      <w:r>
        <w:t xml:space="preserve">. Esta cláusula de prudencia metodológica protege al paper contra la imputación de relajar el criterio de la tesis, pero el efecto protector se debilita cuando la cifra base de comparación (los doscientos eventos) no coincide con la cifra real del protocolo (los cincuenta episodios). Si el paper actualiza la cifra a cincuenta episodios o aclara que cita una versión específica del manuscrito de la tesis, la cláusula de prudencia recupera su fuerza protectora íntegra.</w:t>
      </w:r>
    </w:p>
    <w:bookmarkEnd w:id="11"/>
    <w:bookmarkStart w:id="12" w:name="observaciones-menores"/>
    <w:p>
      <w:pPr>
        <w:pStyle w:val="Heading2"/>
      </w:pPr>
      <w:r>
        <w:t xml:space="preserve">4. Observaciones menores</w:t>
      </w:r>
    </w:p>
    <w:p>
      <w:pPr>
        <w:pStyle w:val="FirstParagraph"/>
      </w:pPr>
      <w:r>
        <w:t xml:space="preserve">Más allá de la distorsión documentada en la sección anterior, el cotejo detectó dos observaciones de orden conceptual que el autor podría considerar refinar. Su severidad es</w:t>
      </w:r>
      <w:r>
        <w:t xml:space="preserve"> </w:t>
      </w:r>
      <w:r>
        <w:rPr>
          <w:b/>
          <w:bCs/>
        </w:rPr>
        <w:t xml:space="preserve">menor</w:t>
      </w:r>
      <w:r>
        <w:t xml:space="preserve"> </w:t>
      </w:r>
      <w:r>
        <w:t xml:space="preserve">porque ninguna de las dos compromete la verdad sustantiva del paper, y porque ambas admiten lecturas caritativas sostenibles ante un revisor exigente. Se documentan a continuación por completitud.</w:t>
      </w:r>
    </w:p>
    <w:p>
      <w:pPr>
        <w:pStyle w:val="BodyText"/>
      </w:pPr>
      <w:r>
        <w:t xml:space="preserve">La primera observación concierne a la afirmación de la sección 2.1 según la cual</w:t>
      </w:r>
      <w:r>
        <w:t xml:space="preserve"> </w:t>
      </w:r>
      <w:r>
        <w:t xml:space="preserve">“el Clasificador N4 es el componente técnico que recibe tramos del CTR cuyos eventos vienen etiquetados por nivel”</w:t>
      </w:r>
      <w:r>
        <w:t xml:space="preserve">. El verbo recibir sugiere que el etiquetado por nivel es input del clasificador, esto es, que los eventos llegan al pipeline del classifier ya con sus etiquetas N1-N4 asignadas. El examen del código revela una arquitectura distinta: el</w:t>
      </w:r>
      <w:r>
        <w:t xml:space="preserve"> </w:t>
      </w:r>
      <w:r>
        <w:rPr>
          <w:rStyle w:val="VerbatimChar"/>
        </w:rPr>
        <w:t xml:space="preserve">pipeline.py</w:t>
      </w:r>
      <w:r>
        <w:t xml:space="preserve"> </w:t>
      </w:r>
      <w:r>
        <w:t xml:space="preserve">del classifier-service carga los eventos crudos del CTR y calcula sobre ellos las tres coherencias (CT, CCD, CII) que el árbol de decisión consume; el etiquetado por nivel via</w:t>
      </w:r>
      <w:r>
        <w:t xml:space="preserve"> </w:t>
      </w:r>
      <w:r>
        <w:rPr>
          <w:rStyle w:val="VerbatimChar"/>
        </w:rPr>
        <w:t xml:space="preserve">event_labeler.label_event()</w:t>
      </w:r>
      <w:r>
        <w:t xml:space="preserve"> </w:t>
      </w:r>
      <w:r>
        <w:t xml:space="preserve">es función pura que se aplica donde sea necesario (analytics, dashboards, workflow del docente), pero no es invocada explícitamente por el pipeline del classifier. La afirmación del paper se sostiene a nivel arquitectónico y conceptual (cualquier consumer del CTR puede etiquetar los eventos via la función pura), pero a nivel estricto de código el classifier no consume el output del labeler. Una formulación más precisa sería que</w:t>
      </w:r>
      <w:r>
        <w:t xml:space="preserve"> </w:t>
      </w:r>
      <w:r>
        <w:t xml:space="preserve">“el Clasificador N4 opera sobre tramos del CTR cuyos eventos pueden ser etiquetados por nivel mediante el etiquetador de eventos (componente C3.2 separado), y produce sobre cada episodio una clasificación de apropiación cognitiva sobre escala ordinal de tres categorías”</w:t>
      </w:r>
      <w:r>
        <w:t xml:space="preserve">.</w:t>
      </w:r>
    </w:p>
    <w:p>
      <w:pPr>
        <w:pStyle w:val="BodyText"/>
      </w:pPr>
      <w:r>
        <w:t xml:space="preserve">La segunda observación concierne a la enumeración de los niveles del etiquetador. El paper afirma que</w:t>
      </w:r>
      <w:r>
        <w:t xml:space="preserve"> </w:t>
      </w:r>
      <w:r>
        <w:t xml:space="preserve">“cada evento llega ya etiquetado por nivel analítico (N1, N2, N3, N4) por un etiquetador de eventos basado en reglas de primer orden”</w:t>
      </w:r>
      <w:r>
        <w:t xml:space="preserve">. El código del etiquetador define el tipo</w:t>
      </w:r>
      <w:r>
        <w:t xml:space="preserve"> </w:t>
      </w:r>
      <w:r>
        <w:rPr>
          <w:rStyle w:val="VerbatimChar"/>
        </w:rPr>
        <w:t xml:space="preserve">NLevel = Literal["N1", "N2", "N3", "N4", "meta"]</w:t>
      </w:r>
      <w:r>
        <w:t xml:space="preserve">, esto es, cinco valores y no cuatro. El valor adicional</w:t>
      </w:r>
      <w:r>
        <w:t xml:space="preserve"> </w:t>
      </w:r>
      <w:r>
        <w:rPr>
          <w:rStyle w:val="VerbatimChar"/>
        </w:rPr>
        <w:t xml:space="preserve">meta</w:t>
      </w:r>
      <w:r>
        <w:t xml:space="preserve"> </w:t>
      </w:r>
      <w:r>
        <w:t xml:space="preserve">se asigna a los eventos de apertura, cierre y abandono de episodio, eventos que no pertenecen al proceso cognitivo de resolución del problema sino a la operación del registro mismo. La omisión del paper se sostiene si se acepta que los niveles</w:t>
      </w:r>
      <w:r>
        <w:t xml:space="preserve"> </w:t>
      </w:r>
      <w:r>
        <w:t xml:space="preserve">“analíticos”</w:t>
      </w:r>
      <w:r>
        <w:t xml:space="preserve"> </w:t>
      </w:r>
      <w:r>
        <w:t xml:space="preserve">del modelo son por definición los cuatro N1-N4 y que</w:t>
      </w:r>
      <w:r>
        <w:t xml:space="preserve"> </w:t>
      </w:r>
      <w:r>
        <w:rPr>
          <w:rStyle w:val="VerbatimChar"/>
        </w:rPr>
        <w:t xml:space="preserve">meta</w:t>
      </w:r>
      <w:r>
        <w:t xml:space="preserve"> </w:t>
      </w:r>
      <w:r>
        <w:t xml:space="preserve">es una etiqueta operacional que no constituye nivel del modelo. La interpretación es razonable, pero un revisor estricto podría señalar que el etiquetador formalmente asigna cinco valores y que el paper omite el caso del valor adicional. Una nota al pie aclaratoria, o la formulación</w:t>
      </w:r>
      <w:r>
        <w:t xml:space="preserve"> </w:t>
      </w:r>
      <w:r>
        <w:t xml:space="preserve">“etiquetado por nivel analítico (N1, N2, N3, N4) o como meta para eventos de operación del registro”</w:t>
      </w:r>
      <w:r>
        <w:t xml:space="preserve">, cierra la observación sin alterar el argumento.</w:t>
      </w:r>
    </w:p>
    <w:bookmarkEnd w:id="12"/>
    <w:bookmarkStart w:id="13" w:name="cierre"/>
    <w:p>
      <w:pPr>
        <w:pStyle w:val="Heading2"/>
      </w:pPr>
      <w:r>
        <w:t xml:space="preserve">5. Cierre</w:t>
      </w:r>
    </w:p>
    <w:p>
      <w:pPr>
        <w:pStyle w:val="FirstParagraph"/>
      </w:pPr>
      <w:r>
        <w:t xml:space="preserve">El cotejo de paper11.docx contra el código del proyecto arroja un resultado de</w:t>
      </w:r>
      <w:r>
        <w:t xml:space="preserve"> </w:t>
      </w:r>
      <w:r>
        <w:rPr>
          <w:b/>
          <w:bCs/>
        </w:rPr>
        <w:t xml:space="preserve">alineamiento no completo pero sustancialmente mejorado</w:t>
      </w:r>
      <w:r>
        <w:t xml:space="preserve"> </w:t>
      </w:r>
      <w:r>
        <w:t xml:space="preserve">respecto de la versión anterior. Las cinco distorsiones críticas y medianas señaladas en</w:t>
      </w:r>
      <w:r>
        <w:t xml:space="preserve"> </w:t>
      </w:r>
      <w:r>
        <w:rPr>
          <w:rStyle w:val="VerbatimChar"/>
        </w:rPr>
        <w:t xml:space="preserve">caccic.md</w:t>
      </w:r>
      <w:r>
        <w:t xml:space="preserve"> </w:t>
      </w:r>
      <w:r>
        <w:t xml:space="preserve">quedaron cerradas con precisión técnica satisfactoria. La distorsión nueva relacionada con los</w:t>
      </w:r>
      <w:r>
        <w:t xml:space="preserve"> </w:t>
      </w:r>
      <w:r>
        <w:t xml:space="preserve">“doscientos eventos del CTR estratificados por nivel”</w:t>
      </w:r>
      <w:r>
        <w:t xml:space="preserve"> </w:t>
      </w:r>
      <w:r>
        <w:t xml:space="preserve">como tamaño mínimo de validación canónica del Clasificador N4 es la única observación de severidad mediana que requiere acción concreta del autor antes del envío final del paper, y su corrección admite dos rutas alternativas dependiendo de la verdadera fuente de la cifra en el manuscrito de la tesis. Las dos observaciones menores documentadas en la sección 4 son refinamientos opcionales que mejoran la precisión técnica del paper sin ser indispensables para la coherencia argumental.</w:t>
      </w:r>
    </w:p>
    <w:p>
      <w:pPr>
        <w:pStyle w:val="BodyText"/>
      </w:pPr>
      <w:r>
        <w:t xml:space="preserve">Si el autor confirma que la cifra de doscientos eventos no figura en el manuscrito vigente de la tesis, la corrección propuesta consiste en sustituir esa frase por una formulación basada en el protocolo del</w:t>
      </w:r>
      <w:r>
        <w:t xml:space="preserve"> </w:t>
      </w:r>
      <w:r>
        <w:rPr>
          <w:rStyle w:val="VerbatimChar"/>
        </w:rPr>
        <w:t xml:space="preserve">kappa-workflow.md</w:t>
      </w:r>
      <w:r>
        <w:t xml:space="preserve"> </w:t>
      </w:r>
      <w:r>
        <w:t xml:space="preserve">con cincuenta episodios como mínimo del protocolo §4.3. Si el autor confirma que la cifra figuraba en una versión preliminar del manuscrito, la corrección propuesta consiste en explicitar la versión específica de la tesis que se cita o en actualizar la cifra a la del protocolo vigente. En cualquiera de los dos caminos, la distancia entre paper y repositorio queda completamente cerrada y el paper alcanza el estado de alineamiento total que la verificación bidireccional permite afirmar.</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2026-05-09T01:49:43Z</dcterms:created>
  <dcterms:modified xsi:type="dcterms:W3CDTF">2026-05-09T01:49:43Z</dcterms:modified>
</cp:coreProperties>
</file>

<file path=docProps/custom.xml><?xml version="1.0" encoding="utf-8"?>
<Properties xmlns="http://schemas.openxmlformats.org/officeDocument/2006/custom-properties" xmlns:vt="http://schemas.openxmlformats.org/officeDocument/2006/docPropsVTypes"/>
</file>