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i/>
          <w:iCs/>
          <w:color w:val="606060"/>
          <w:sz w:val="18"/>
          <w:szCs w:val="18"/>
        </w:rPr>
        <w:t xml:space="preserve">CACIC 2026 · Workshop de Tecnología Informática Aplicada en Educación (WTIAE)</w:t>
      </w:r>
    </w:p>
    <w:p>
      <w:pPr>
        <w:spacing w:after="240" w:before="240"/>
        <w:jc w:val="center"/>
      </w:pPr>
      <w:r>
        <w:rPr>
          <w:rFonts w:ascii="Times New Roman" w:cs="Times New Roman" w:eastAsia="Times New Roman" w:hAnsi="Times New Roman"/>
          <w:b/>
          <w:bCs/>
          <w:sz w:val="28"/>
          <w:szCs w:val="28"/>
        </w:rPr>
        <w:t xml:space="preserve">Modelo evaluativo para el uso gobernado de IA generativa en la enseñanza universitaria de programación: propuesta basada en el Modelo N4 e hipótesis a contrastar</w:t>
      </w:r>
    </w:p>
    <w:p>
      <w:pPr>
        <w:spacing w:after="60" w:before="0"/>
        <w:jc w:val="center"/>
      </w:pPr>
      <w:r>
        <w:rPr>
          <w:rFonts w:ascii="Times New Roman" w:cs="Times New Roman" w:eastAsia="Times New Roman" w:hAnsi="Times New Roman"/>
          <w:sz w:val="22"/>
          <w:szCs w:val="22"/>
        </w:rPr>
        <w:t xml:space="preserve">Alberto Cortez</w:t>
      </w:r>
      <w:r>
        <w:rPr>
          <w:rFonts w:ascii="Times New Roman" w:cs="Times New Roman" w:eastAsia="Times New Roman" w:hAnsi="Times New Roman"/>
          <w:sz w:val="18"/>
          <w:szCs w:val="18"/>
          <w:vertAlign w:val="superscript"/>
        </w:rPr>
        <w:t xml:space="preserve">¹,²</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Ana Garis</w:t>
      </w:r>
      <w:r>
        <w:rPr>
          <w:rFonts w:ascii="Times New Roman" w:cs="Times New Roman" w:eastAsia="Times New Roman" w:hAnsi="Times New Roman"/>
          <w:sz w:val="18"/>
          <w:szCs w:val="18"/>
          <w:vertAlign w:val="superscript"/>
        </w:rPr>
        <w:t xml:space="preserve">¹</w:t>
      </w:r>
    </w:p>
    <w:p>
      <w:pPr>
        <w:spacing w:after="60" w:before="0"/>
        <w:jc w:val="center"/>
      </w:pPr>
      <w:r>
        <w:rPr>
          <w:rFonts w:ascii="Times New Roman" w:cs="Times New Roman" w:eastAsia="Times New Roman" w:hAnsi="Times New Roman"/>
          <w:i/>
          <w:iCs/>
          <w:sz w:val="18"/>
          <w:szCs w:val="18"/>
        </w:rPr>
        <w:t xml:space="preserve">¹ Universidad Tecnológica Nacional, Facultad Regional Mendoza (UTN-FRM); cátedra de Programación, Tecnicatura Universitaria en Programación a Distancia (TUPAD-UTN)</w:t>
      </w:r>
    </w:p>
    <w:p>
      <w:pPr>
        <w:spacing w:after="240" w:before="0"/>
        <w:jc w:val="center"/>
      </w:pPr>
      <w:r>
        <w:rPr>
          <w:rFonts w:ascii="Times New Roman" w:cs="Times New Roman" w:eastAsia="Times New Roman" w:hAnsi="Times New Roman"/>
          <w:i/>
          <w:iCs/>
          <w:sz w:val="18"/>
          <w:szCs w:val="18"/>
        </w:rPr>
        <w:t xml:space="preserve">² Doctorando en Ciencias de la Computación, Universidad Nacional de San Luis (UNSL)</w:t>
      </w:r>
    </w:p>
    <w:p>
      <w:pPr>
        <w:spacing w:after="120" w:before="120"/>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Se presenta una propuesta de modelo evaluativo orientado a la gobernanza pedagógica del uso de inteligencia artificial generativa en la enseñanza universitaria de programación, esto es, a permitir el uso de la herramienta sin renunciar a observabilidad, criterios y rendición de cuentas evaluativa. La propuesta articula la adopción del Modelo N4 de trazabilidad cognitiva (Cortez, 2026) como marco analítico de referencia con la implementación de un instrumento automatizado para la codificación parcial de evidencias de dicho modelo sobre repositorios de código de estudiantes, en contextos donde el Cognitive Trace Record (CTR) que el Modelo N4 declara como fuente canónica no se encuentra disponible. El instrumento articula tres módulos especializados (sintáctico mediante AST, histórico sobre logs de git, semántico mediante un modelo de lenguaje generativo) en una pipeline reproducible que produce codificación por nivel del modelo en escala ordinal. Se formulan hipótesis empíricamente contrastables sobre el desempeño esperado del instrumento: HP1, concordancia sustancial (κ en rango [0,61–0,80] según Landis y Koch, 1977) sobre los niveles N1 Comprensión, N2 Estrategia y N3 Validación, cuyas evidencias dejan huella estructural sobre el producto; HP2, concordancia moderada o inferior (κ &lt; 0,60) sobre N4 Interacción con IA, cuyas evidencias canónicas residen en eventos del CTR ausentes del repositorio; HP3, reducción significativa (&gt;90%) del tiempo operativo respecto de la codificación humana exclusiva. Se argumenta que, de confirmarse la distribución diferencial anticipada (HP1 ∧ HP2), el resultado aportaría soporte empírico indirecto, por contraste, al principio de articulación constitutiva entre constructo y arquitectura postulado por la tesis de origen, y permitiría sostener que la gobernanza del uso de IA es operacionalizable mediante observabilidad por niveles, no mediante prohibición ni mediante detección forense. El paper expone el modelo conceptual, el diseño metodológico y el plan de ejecución del estudio empírico sobre 30 repositorios reales de la cátedra de Programación de la Tecnicatura Universitaria en Programación a Distancia (TUPAD), programa nacional a distancia de la Universidad Tecnológica Nacional conformado por el consorcio de diecinueve Facultades Regionales del país. La validación empírica se ejecutará durante 2026 conforme al cronograma documentado.</w:t>
      </w:r>
    </w:p>
    <w:p>
      <w:pPr>
        <w:spacing w:after="240" w:before="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gobernanza pedagógica de IA · modelo evaluativo · trazabilidad cognitiva · Modelo N4 · evaluación auténtica · IA generativa · análisis estático de código · kappa de Cohen · enseñanza universitaria de programación.</w:t>
      </w:r>
    </w:p>
    <w:p>
      <w:pPr>
        <w:spacing w:after="120" w:before="240"/>
        <w:jc w:val="left"/>
      </w:pPr>
      <w:r>
        <w:rPr>
          <w:rFonts w:ascii="Times New Roman" w:cs="Times New Roman" w:eastAsia="Times New Roman" w:hAnsi="Times New Roman"/>
          <w:b/>
          <w:bCs/>
          <w:sz w:val="24"/>
          <w:szCs w:val="24"/>
        </w:rPr>
        <w:t xml:space="preserve">1   Introducción</w:t>
      </w:r>
    </w:p>
    <w:p>
      <w:pPr>
        <w:spacing w:after="100" w:before="0" w:line="260"/>
        <w:ind w:firstLine="360"/>
        <w:jc w:val="both"/>
      </w:pPr>
      <w:r>
        <w:rPr>
          <w:rFonts w:ascii="Times New Roman" w:cs="Times New Roman" w:eastAsia="Times New Roman" w:hAnsi="Times New Roman"/>
          <w:sz w:val="20"/>
          <w:szCs w:val="20"/>
        </w:rPr>
        <w:t xml:space="preserve">La irrupción masiva de asistentes de inteligencia artificial generativa en la enseñanza universitaria de programación ha producido una crisis de validez en los sistemas evaluativos tradicionales. La evidencia empírica acumulada documenta que estos modelos resuelven con desempeño superior al promedio estudiantil tareas introductorias e intermedias del campo (Finnie-Ansley et al., 2022) y que los instructores se encuentran divididos sobre cómo adaptar la enseñanza ante esa transformación (Lau y Guo, 2023). Los mecanismos evaluativos construidos sobre el supuesto de que el código entregado refleja el proceso cognitivo del estudiante han dejado de ser confiables.</w:t>
      </w:r>
    </w:p>
    <w:p>
      <w:pPr>
        <w:spacing w:after="100" w:before="0" w:line="260"/>
        <w:ind w:firstLine="360"/>
        <w:jc w:val="both"/>
      </w:pPr>
      <w:r>
        <w:rPr>
          <w:rFonts w:ascii="Times New Roman" w:cs="Times New Roman" w:eastAsia="Times New Roman" w:hAnsi="Times New Roman"/>
          <w:sz w:val="20"/>
          <w:szCs w:val="20"/>
        </w:rPr>
        <w:t xml:space="preserve">Frente a esta situación, dos respuestas de uso extendido en la práctica universitaria contemporánea muestran limitaciones estructurales. Por un lado, la prohibición del uso de IA, sostenida por intentos de detección forense y por sanciones académicas, no aborda el problema pedagógico sustantivo (formar profesionales capaces de usar los asistentes de manera productiva) y se enfrenta a la dificultad técnica creciente de la detección. Por otro lado, el laissez-faire, esto es, el uso libre sin observabilidad ni criterios, deja sin respuesta la cuestión evaluativa: ¿cómo distinguir aprendizaje genuino de delegación pasiva cuando el producto entregado es indistinguible? El presente trabajo se inscribe en una tercera vía que la literatura especializada y el ecosistema teórico de Cortez (2026) caracterizan como gobernanza pedagógica del uso de IA: permitir el uso de la herramienta, pero hacerlo observable, codificable y sujeto a criterios explícitos. Gobernanza, en este sentido, no es prohibición vestida de criterio sino la articulación operacional entre permiso de uso, observabilidad del proceso y rendición de cuentas evaluativa.</w:t>
      </w:r>
    </w:p>
    <w:p>
      <w:pPr>
        <w:spacing w:after="100" w:before="0" w:line="260"/>
        <w:ind w:firstLine="360"/>
        <w:jc w:val="both"/>
      </w:pPr>
      <w:r>
        <w:rPr>
          <w:rFonts w:ascii="Times New Roman" w:cs="Times New Roman" w:eastAsia="Times New Roman" w:hAnsi="Times New Roman"/>
          <w:sz w:val="20"/>
          <w:szCs w:val="20"/>
        </w:rPr>
        <w:t xml:space="preserve">La tesis doctoral de Cortez (2026), referente teórico del presente trabajo, responde a este problema mediante la formulación de un modelo conceptual original —el Modelo N4 de trazabilidad cognitiva— y su operacionalización técnica en un sistema AI-Native que incluye un Cognitive Trace Record (CTR) con garantías criptográficas de integridad y un Clasificador N4 que codifica los eventos del CTR en cuatro niveles analíticos del proceso de resolución: N1 Comprensión del problema, N2 Estrategia de resolución, N3 Validación de la solución y N4 Interacción con IA. El presente paper adopta ese modelo como marco evaluativo de referencia y propone una pieza específica del régimen de gobernanza así definido: un instrumento automatizado para la codificación parcial de evidencias del modelo sobre repositorios de código en contextos donde el CTR no está disponible. La articulación entre tesis y paper, donde el primer autor del paper es el doctorando autor de la tesis, se declara explícitamente para registro académico.</w:t>
      </w:r>
    </w:p>
    <w:p>
      <w:pPr>
        <w:spacing w:after="100" w:before="0" w:line="260"/>
        <w:ind w:firstLine="360"/>
        <w:jc w:val="both"/>
      </w:pPr>
      <w:r>
        <w:rPr>
          <w:rFonts w:ascii="Times New Roman" w:cs="Times New Roman" w:eastAsia="Times New Roman" w:hAnsi="Times New Roman"/>
          <w:sz w:val="20"/>
          <w:szCs w:val="20"/>
        </w:rPr>
        <w:t xml:space="preserve">La articulación entre modelo y arquitectura es estricta en la propuesta original: el Clasificador N4 opera sobre el CTR, no sobre el repositorio terminado. La opción no es accidental sino constitutiva: el CTR registra eventos del proceso (lectura del enunciado, prompts al asistente, ejecución de tests, recepción de respuestas) mientras que el repositorio registra solamente el producto. Sin embargo, el despliegue efectivo del sistema AI-Native está limitado, al cierre de 2025, al pilotaje en cursos específicos del propio ecosistema de origen. La gran mayoría de los contextos universitarios argentinos —incluida la cátedra de Programación de la Tecnicatura Universitaria en Programación a Distancia (TUPAD), donde se inscribe el presente trabajo— operan sobre repositorios estudiantiles que no tienen CTR asociado. La TUPAD es un programa nacional a distancia de la Universidad Tecnológica Nacional, conformado por el consorcio de diecinueve Facultades Regionales del país, lo que dota al corpus de cobertura geográfica federal aun cuando la gestión académica del programa sigue una única curricula común. La pregunta operativa que el paper aborda es, en consecuencia, qué codificación es razonable producir sobre el repositorio cuando el régimen completo de gobernanza, materializado en el sistema AI-Native, no está desplegado en el contexto institucional.</w:t>
      </w:r>
    </w:p>
    <w:p>
      <w:pPr>
        <w:spacing w:after="100" w:before="0" w:line="260"/>
        <w:ind w:firstLine="360"/>
        <w:jc w:val="both"/>
      </w:pPr>
      <w:r>
        <w:rPr>
          <w:rFonts w:ascii="Times New Roman" w:cs="Times New Roman" w:eastAsia="Times New Roman" w:hAnsi="Times New Roman"/>
          <w:sz w:val="20"/>
          <w:szCs w:val="20"/>
        </w:rPr>
        <w:t xml:space="preserve">La pregunta operativa que motiva el presente trabajo es: ¿es posible producir una codificación parcial de evidencias del Modelo N4 sobre el repositorio terminado, en contextos sin CTR, con concordancia estadísticamente significativa respecto de la codificación humana experta? La hipótesis subyacente, que el trabajo se propone contrastar empíricamente, es que la respuesta no es uniforme entre los cuatro niveles del modelo: para los niveles N1, N2 y N3, las evidencias dejan huellas observables sobre el producto y la sustitución es razonablemente aceptable; para el nivel N4, las evidencias residen en la cadena de interacciones con el asistente y no dejan huellas estructurales sobre el repositorio, por lo que la sustitución es estructuralmente problemática.</w:t>
      </w:r>
    </w:p>
    <w:p>
      <w:pPr>
        <w:spacing w:after="100" w:before="0" w:line="260"/>
        <w:ind w:firstLine="360"/>
        <w:jc w:val="both"/>
      </w:pPr>
      <w:r>
        <w:rPr>
          <w:rFonts w:ascii="Times New Roman" w:cs="Times New Roman" w:eastAsia="Times New Roman" w:hAnsi="Times New Roman"/>
          <w:sz w:val="20"/>
          <w:szCs w:val="20"/>
        </w:rPr>
        <w:t xml:space="preserve">La contribución del presente paper es triple. La conceptual: la formulación explícita de un modelo evaluativo para el uso gobernado de IA generativa en programación universitaria, articulado sobre el Modelo N4 como marco analítico, sobre el principio pedagógico de permitir el uso bajo observabilidad, y sobre el reconocimiento de que la observabilidad sin CTR es necesariamente parcial. La metodológica: el diseño y la implementación de un instrumento articulado en tres módulos (AST sintáctico, git histórico, LLM semántico) que produce codificación parcial por nivel del modelo, junto con un protocolo de validación empírica mediante kappa de Cohen contra codificación humana experta consensuada. La epistemológica: argumentamos que la distribución diferencial anticipada de la concordancia por nivel del modelo —sustancial sobre N1, N2 y N3, moderada sobre N4— aportaría, exactamente por la magnitud de la pérdida sobre N4, soporte empírico indirecto por contraste al principio de articulación constitutiva entre constructo y fuente que el ecosistema teórico de origen postula como decisión de diseño. El paper expone la propuesta para su evaluación por la comunidad académica antes de la ejecución del estudio empírico, ejecución prevista para 2026.</w:t>
      </w:r>
    </w:p>
    <w:p>
      <w:pPr>
        <w:spacing w:after="100" w:before="0" w:line="260"/>
        <w:ind w:firstLine="360"/>
        <w:jc w:val="both"/>
      </w:pPr>
      <w:r>
        <w:rPr>
          <w:rFonts w:ascii="Times New Roman" w:cs="Times New Roman" w:eastAsia="Times New Roman" w:hAnsi="Times New Roman"/>
          <w:sz w:val="20"/>
          <w:szCs w:val="20"/>
        </w:rPr>
        <w:t xml:space="preserve">El paper se organiza así. La sección 2 condensa el marco teórico y articula el espacio del trabajo respecto del estado del arte. La sección 3 formaliza el diseño metodológico en seis fases. La sección 4 describe la implementación del instrumento. La sección 5 formula las hipótesis empíricamente contrastables y los resultados anticipados. La sección 6 discute las implicaciones de cada combinación posible de resultados. La sección 7 cierra con conclusiones y plan de ejecución. Una declaración final documenta el uso de IA durante la elaboración del paper.</w:t>
      </w:r>
    </w:p>
    <w:p>
      <w:pPr>
        <w:spacing w:after="120" w:before="240"/>
        <w:jc w:val="left"/>
      </w:pPr>
      <w:r>
        <w:rPr>
          <w:rFonts w:ascii="Times New Roman" w:cs="Times New Roman" w:eastAsia="Times New Roman" w:hAnsi="Times New Roman"/>
          <w:b/>
          <w:bCs/>
          <w:sz w:val="24"/>
          <w:szCs w:val="24"/>
        </w:rPr>
        <w:t xml:space="preserve">2   Marco teórico y trabajos relacionados</w:t>
      </w:r>
    </w:p>
    <w:p>
      <w:pPr>
        <w:spacing w:after="100" w:before="180"/>
        <w:jc w:val="left"/>
      </w:pPr>
      <w:r>
        <w:rPr>
          <w:rFonts w:ascii="Times New Roman" w:cs="Times New Roman" w:eastAsia="Times New Roman" w:hAnsi="Times New Roman"/>
          <w:b/>
          <w:bCs/>
          <w:i/>
          <w:iCs/>
          <w:sz w:val="22"/>
          <w:szCs w:val="22"/>
        </w:rPr>
        <w:t xml:space="preserve">2.1  El sistema AI-Native: tutor socrático, CTR y Clasificador N4</w:t>
      </w:r>
    </w:p>
    <w:p>
      <w:pPr>
        <w:spacing w:after="100" w:before="0" w:line="260"/>
        <w:ind w:firstLine="360"/>
        <w:jc w:val="both"/>
      </w:pPr>
      <w:r>
        <w:rPr>
          <w:rFonts w:ascii="Times New Roman" w:cs="Times New Roman" w:eastAsia="Times New Roman" w:hAnsi="Times New Roman"/>
          <w:sz w:val="20"/>
          <w:szCs w:val="20"/>
        </w:rPr>
        <w:t xml:space="preserve">El Modelo N4 (Cortez, 2026) es un marco analítico organizado en cuatro niveles paralelos —no jerárquicos— del proceso de resolución de problemas de programación en contextos mediados por IA generativa. La caracterización normativa de la versión consolidada de la tesis es: N1 Comprensión del problema (lectura del enunciado, identificación de entradas y salidas, análisis de casos límite, reformulación, ejemplificación); N2 Estrategia de resolución (descomposición en subproblemas, elección de estructuras de datos, pseudocódigo, articulación de invariantes); N3 Validación de la solución (verificación contra casos de prueba, análisis de cobertura, revisión de invariantes, depuración); y N4 Interacción con IA (formulación de prompts, lectura de respuestas, reformulación tras respuestas insatisfactorias, verificación crítica de propuestas, apropiación de argumentos). La decisión epistemológica de tratar la interacción con IA como nivel analítico autónomo, y no como subsidiaria de los anteriores, constituye la contribución más distintiva del modelo según su autor.</w:t>
      </w:r>
    </w:p>
    <w:p>
      <w:pPr>
        <w:spacing w:after="100" w:before="0" w:line="260"/>
        <w:ind w:firstLine="360"/>
        <w:jc w:val="both"/>
      </w:pPr>
      <w:r>
        <w:rPr>
          <w:rFonts w:ascii="Times New Roman" w:cs="Times New Roman" w:eastAsia="Times New Roman" w:hAnsi="Times New Roman"/>
          <w:sz w:val="20"/>
          <w:szCs w:val="20"/>
        </w:rPr>
        <w:t xml:space="preserve">El sistema AI-Native que la tesis de origen propone como soporte arquitectónico del Modelo N4 (Cortez, 2026) articula tres componentes centrales que conjuntamente operacionalizan el régimen de gobernanza pedagógica enunciado en la sección 1. Primero, el tutor socrático: la configuración del asistente conversacional con el que el estudiante interactúa, que opera bajo un prompt del sistema versionado semánticamente y bajo un conjunto explícito de guardarraíles pedagógicos y de contenido. La versión vigente del sistema cubre intentos de jailbreak (cambio de rol, override directo del prompt del sistema, marcos ficcionales ambiguos), inyección por markup y persuasión indebida al tutor mediante manipulación emocional; la detección de sobreuso intencional, que requiere ventana temporal cross-prompt sobre el mismo episodio, queda como agenda futura del régimen de guardarraíles. El tutor socrático no es un asistente de IA cualquiera, sino una configuración pedagógicamente explícita: es la pieza que materializa la gobernanza desde el lado de la herramienta. Segundo, el Cognitive Trace Record (CTR): el registro auditable de eventos observables generados durante el proceso de resolución, encadenados criptográficamente mediante SHA-256 y vinculados al hash del prompt del sistema vigente; el CTR registra los eventos del proceso, incluidos los prompts enviados al tutor y sus respuestas, y cada evento llega ya etiquetado por nivel analítico (N1, N2, N3, N4) por un etiquetador de eventos basado en reglas de primer orden. Tercero, el Clasificador N4: el componente técnico que recibe tramos del CTR cuyos eventos vienen etiquetados por nivel y produce, sobre cada episodio, una clasificación de apropiación cognitiva sobre escala ordinal de tres categorías —delegación pasiva, apropiación superficial, apropiación reflexiva—, validada contra anotadores humanos capacitados con umbral de aceptación κ ≥ 0,60 (concordancia sustancial conforme a la convención de Landis y Koch, 1977). La articulación constitutiva entre las tres piezas es lo que la tesis sostiene como condición de la gobernanza efectiva: ninguna pieza implementada de manera aislada produce el régimen completo. El presente paper opera sobre la limitación de despliegue: en contextos donde el sistema AI-Native completo no está disponible, el tutor socrático y el CTR no son accesibles, y solo queda el repositorio de código como evidencia residual del proceso. La pregunta operativa del paper se restringe a esa franja: qué codificación es razonable producir sobre el repositorio cuando la arquitectura completa de gobernanza no está disponible.</w:t>
      </w:r>
    </w:p>
    <w:p>
      <w:pPr>
        <w:spacing w:after="100" w:before="0" w:line="260"/>
        <w:ind w:firstLine="360"/>
        <w:jc w:val="both"/>
      </w:pPr>
      <w:r>
        <w:rPr>
          <w:rFonts w:ascii="Times New Roman" w:cs="Times New Roman" w:eastAsia="Times New Roman" w:hAnsi="Times New Roman"/>
          <w:sz w:val="20"/>
          <w:szCs w:val="20"/>
        </w:rPr>
        <w:t xml:space="preserve">Para el presente trabajo, el CTR opera como referente normativo doblemente: en el plano conceptual define el modelo de fuente que el Modelo N4 supone para su codificación canónica; en el plano metodológico define el conjunto de observables a los cuales el presente instrumento no tiene acceso, lo cual fundamenta la limitación estructural sobre N4 que el trabajo se propone caracterizar empíricamente.</w:t>
      </w:r>
    </w:p>
    <w:p>
      <w:pPr>
        <w:spacing w:after="100" w:before="180"/>
        <w:jc w:val="left"/>
      </w:pPr>
      <w:r>
        <w:rPr>
          <w:rFonts w:ascii="Times New Roman" w:cs="Times New Roman" w:eastAsia="Times New Roman" w:hAnsi="Times New Roman"/>
          <w:b/>
          <w:bCs/>
          <w:i/>
          <w:iCs/>
          <w:sz w:val="22"/>
          <w:szCs w:val="22"/>
        </w:rPr>
        <w:t xml:space="preserve">2.2  Trabajos relacionados</w:t>
      </w:r>
    </w:p>
    <w:p>
      <w:pPr>
        <w:spacing w:after="100" w:before="0" w:line="260"/>
        <w:ind w:firstLine="360"/>
        <w:jc w:val="both"/>
      </w:pPr>
      <w:r>
        <w:rPr>
          <w:rFonts w:ascii="Times New Roman" w:cs="Times New Roman" w:eastAsia="Times New Roman" w:hAnsi="Times New Roman"/>
          <w:sz w:val="20"/>
          <w:szCs w:val="20"/>
        </w:rPr>
        <w:t xml:space="preserve">Cinco líneas convergen sobre el espacio del presente trabajo. Primero, el educational data mining sobre repositorios estudiantiles, con antecedentes consolidados en process mining sobre proyectos de cursos universitarios (Mittal y Sureka, 2014) y survey actualizado del campo (Romero y Ventura, 2020). Segundo, la consolidación de la línea de evaluación auténtica en programación con IA generativa que articula el ecosistema teórico de origen, donde la presente propuesta dialoga con el modelo curricular AI-Native con trazabilidad N4 desarrollado en cooperación UTN-FRM · UCh y presentado en WICC 2026 (Cortez et al., 2026), trabajo que articula la formalización del Cognitive Trace Record, la Taxonomía Cognitiva AI-Native (TC-AIN) y la arquitectura institucional. La versión vigente de dicha arquitectura integra un AI-Gateway que mediatiza las interacciones con modelos de lenguaje, un almacén vectorial sobre PostgreSQL mediante la extensión pgvector que soporta la búsqueda por similitud del módulo RAG, y versionado mediante Git de los artefactos de prompts y código; la integración con orquestadores de flujos institucionales tipo n8n está prevista como agenda futura post-piloto, no como pieza desplegada en la versión inicial. El presente paper se inscribe en este ecosistema como pieza específica de observabilidad ex-post. Tercero, los modelos de lenguaje como anotadores cualitativos en investigación educativa, con cuantificación rigurosa de la concordancia con codificadores humanos mediante kappa de Cohen (Naismith, Mulcaire y Burstein, 2023; Borse, Subramaniam y Rebello, 2025): los trabajos consolidan que el desempeño del LLM como anotador es sustancial sobre constructos cuyas evidencias están en el material entregado y degrada sistemáticamente sobre constructos que requieren conocimiento contextual no presente en la fuente —patrón que el presente trabajo replica sobre los cuatro niveles del Modelo N4. Cuarto, la literatura sobre detección forense de código generado por LLM, con caracterización estilométrica de los patrones diferenciales entre código humano y generado (Idialu, Mathews, Maipradit, Atlee y Nagappan, 2024; Rahman, Khatoonabadi, Abdellatif y Shihab, 2024). Quinto, el coeficiente kappa de Cohen como instrumento estadístico de medición de concordancia (Cohen, 1960) con la convención canónica de interpretación de Landis y Koch (1977).</w:t>
      </w:r>
    </w:p>
    <w:p>
      <w:pPr>
        <w:spacing w:after="100" w:before="0" w:line="260"/>
        <w:ind w:firstLine="360"/>
        <w:jc w:val="both"/>
      </w:pPr>
      <w:r>
        <w:rPr>
          <w:rFonts w:ascii="Times New Roman" w:cs="Times New Roman" w:eastAsia="Times New Roman" w:hAnsi="Times New Roman"/>
          <w:sz w:val="20"/>
          <w:szCs w:val="20"/>
        </w:rPr>
        <w:t xml:space="preserve">El espacio de inserción del presente trabajo es la articulación operacional de las cinco líneas en un instrumento reproducible, validado contra codificación humana experta, con honesto reconocimiento de las limitaciones derivadas de la sustitución del CTR por el repositorio como fuente. Este espacio no estaba ocupado por trabajos previos al cierre del estado del arte de la tesis de origen (Cortez, 2026).</w:t>
      </w:r>
    </w:p>
    <w:p>
      <w:pPr>
        <w:spacing w:after="120" w:before="240"/>
        <w:jc w:val="left"/>
      </w:pPr>
      <w:r>
        <w:rPr>
          <w:rFonts w:ascii="Times New Roman" w:cs="Times New Roman" w:eastAsia="Times New Roman" w:hAnsi="Times New Roman"/>
          <w:b/>
          <w:bCs/>
          <w:sz w:val="24"/>
          <w:szCs w:val="24"/>
        </w:rPr>
        <w:t xml:space="preserve">3   Diseño metodológico</w:t>
      </w:r>
    </w:p>
    <w:p>
      <w:pPr>
        <w:spacing w:after="100" w:before="0" w:line="260"/>
        <w:ind w:firstLine="360"/>
        <w:jc w:val="both"/>
      </w:pPr>
      <w:r>
        <w:rPr>
          <w:rFonts w:ascii="Times New Roman" w:cs="Times New Roman" w:eastAsia="Times New Roman" w:hAnsi="Times New Roman"/>
          <w:sz w:val="20"/>
          <w:szCs w:val="20"/>
        </w:rPr>
        <w:t xml:space="preserve">La metodología se articula en seis fases, de las cuales las tres primeras se encuentran completadas al cierre del presente paper y las tres restantes se ejecutarán durante 2026 conforme al cronograma documentado en la sección 7.</w:t>
      </w:r>
    </w:p>
    <w:p>
      <w:pPr>
        <w:spacing w:after="100" w:before="0" w:line="260"/>
        <w:ind w:firstLine="360"/>
        <w:jc w:val="both"/>
      </w:pPr>
      <w:r>
        <w:rPr>
          <w:rFonts w:ascii="Times New Roman" w:cs="Times New Roman" w:eastAsia="Times New Roman" w:hAnsi="Times New Roman"/>
          <w:sz w:val="20"/>
          <w:szCs w:val="20"/>
        </w:rPr>
        <w:t xml:space="preserve">La fase 1, de caracterización conceptual, completada, partió del estudio cerrado de la formulación normativa del Modelo N4 conforme a la versión consolidada de la tesis de origen (Cortez, 2026) y produjo el catálogo de indicadores observables sobre el repositorio para cada nivel. Para los tres primeros niveles, la operacionalización procede sobre el producto: estructura modular y descomposición funcional para N2; presencia y cobertura de tests, manejo de excepciones y validación de entradas para N3; calidad y completitud del README, presencia de docstrings explicativos del problema y reformulación del enunciado en términos propios para N1. Para N4 se reconoce desde el diseño una limitación estructural: el repositorio no contiene los eventos canónicos de interacción con IA que la fuente CTR registra en el sistema AI-Native (prompts enviados, respuestas del tutor, código aceptado con marca de origen, sea proveniente del propio tutor o de una fuente externa al perímetro del sistema); incluso dentro del sistema AI-Native, la captura de la rama "código aceptado con origen del propio tutor" depende de afordancias UX cuya implementación está parcialmente operacional al cierre de la versión inicial. En contextos sin sistema AI-Native, como el presente, el instrumento operará por inferencia indirecta sobre tres familias de señales de proxy: (a) atribuciones explícitas en comentarios, README o mensajes de commit; (b) patrones estilísticos asociados con generación automática (Idialu et al., 2024; Rahman et al., 2024); (c) análisis del contenido textual del repositorio mediante el módulo semántico.</w:t>
      </w:r>
    </w:p>
    <w:p>
      <w:pPr>
        <w:spacing w:after="100" w:before="0" w:line="260"/>
        <w:ind w:firstLine="360"/>
        <w:jc w:val="both"/>
      </w:pPr>
      <w:r>
        <w:rPr>
          <w:rFonts w:ascii="Times New Roman" w:cs="Times New Roman" w:eastAsia="Times New Roman" w:hAnsi="Times New Roman"/>
          <w:sz w:val="20"/>
          <w:szCs w:val="20"/>
        </w:rPr>
        <w:t xml:space="preserve">La fase 2, de consolidación del corpus, completada, conformó el conjunto de 30 repositorios reales correspondientes a estudiantes de la cátedra de Programación de la cohorte 2025 de la Tecnicatura Universitaria en Programación a Distancia (TUPAD) de la Universidad Tecnológica Nacional. La TUPAD es un programa nacional a distancia administrado por consorcio entre diecinueve Facultades Regionales del país, con curricula común y cohortes federales: el corpus, en consecuencia, no es local a una sola sede sino que representa una muestra de estudiantes geográficamente distribuidos que cursan bajo la misma propuesta académica. La participación se formalizó mediante consentimiento informado escrito de cada estudiante con cláusulas explícitas sobre alcance, anonimización, retención, destrucción y derecho de retirada. Ninguno de los 30 repositorios contiene CTR asociado, condición esperada en el contexto institucional.</w:t>
      </w:r>
    </w:p>
    <w:p>
      <w:pPr>
        <w:spacing w:after="100" w:before="0" w:line="260"/>
        <w:ind w:firstLine="360"/>
        <w:jc w:val="both"/>
      </w:pPr>
      <w:r>
        <w:rPr>
          <w:rFonts w:ascii="Times New Roman" w:cs="Times New Roman" w:eastAsia="Times New Roman" w:hAnsi="Times New Roman"/>
          <w:sz w:val="20"/>
          <w:szCs w:val="20"/>
        </w:rPr>
        <w:t xml:space="preserve">Una nota metodológica sobre la unidad de análisis del estudio. La tesis de origen establece, para la validación canónica del Clasificador N4, un tamaño mínimo de doscientos eventos del CTR estratificados por nivel. La unidad de análisis del presente trabajo es distinta: el repositorio agregado, no el evento del CTR. Esta diferencia es consecuencia directa de la diferencia de fuente —producto terminado versus proceso registrado en el CTR— y no implica relajación del criterio normativo: el instrumento propuesto no es el Clasificador N4 sino una aproximación ex-post sobre fuente parcial, y por tanto razona sobre granularidad agregada de repositorio. El n = 30 del presente estudio corresponde a la cantidad de repositorios procesados; cada repositorio aporta señales sobre los cuatro niveles del modelo. La equivalencia aproximada en términos de la métrica de la tesis es indirecta y no se afirma; el presente estudio se valida contra codificación humana experta sobre la misma unidad de análisis (repositorio), no contra los criterios de la tesis sobre eventos.</w:t>
      </w:r>
    </w:p>
    <w:p>
      <w:pPr>
        <w:spacing w:after="100" w:before="0" w:line="260"/>
        <w:ind w:firstLine="360"/>
        <w:jc w:val="both"/>
      </w:pPr>
      <w:r>
        <w:rPr>
          <w:rFonts w:ascii="Times New Roman" w:cs="Times New Roman" w:eastAsia="Times New Roman" w:hAnsi="Times New Roman"/>
          <w:sz w:val="20"/>
          <w:szCs w:val="20"/>
        </w:rPr>
        <w:t xml:space="preserve">La fase 3, de implementación de la pipeline, completada, articuló los tres módulos especializados —AST sintáctico mediante la librería ast estándar de Python; histórico mediante GitPython sobre logs de commits; semántico basado en un modelo de lenguaje (Anthropic, 2026) con prompts versionados sobre temperatura 0,2— y el módulo articulador que integra las salidas mediante reglas explícitas (no aprendizaje supervisado) para producir la codificación final por nivel sobre escala ordinal de cinco puntos (ausente, leve, moderada, sustancial, casi total). La implementación se describe con detalle en la sección 4.</w:t>
      </w:r>
    </w:p>
    <w:p>
      <w:pPr>
        <w:spacing w:after="100" w:before="0" w:line="260"/>
        <w:ind w:firstLine="360"/>
        <w:jc w:val="both"/>
      </w:pPr>
      <w:r>
        <w:rPr>
          <w:rFonts w:ascii="Times New Roman" w:cs="Times New Roman" w:eastAsia="Times New Roman" w:hAnsi="Times New Roman"/>
          <w:sz w:val="20"/>
          <w:szCs w:val="20"/>
        </w:rPr>
        <w:t xml:space="preserve">La fase 4, de codificación humana experta, en curso al cierre del paper, constituirá la línea de base de validación. Dos codificadores independientes —el director del trabajo (también doctorando autor del Modelo N4) y un docente externo capacitado mediante documento de referencia y dos sesiones de calibración— codificarán los 30 repositorios sobre la misma escala ordinal usada por el instrumento. Los casos discordantes se discutirán en sesiones moderadas; las codificaciones consensuadas constituirán la línea de base contra la cual se evaluará el instrumento automatizado.</w:t>
      </w:r>
    </w:p>
    <w:p>
      <w:pPr>
        <w:spacing w:after="100" w:before="0" w:line="260"/>
        <w:ind w:firstLine="360"/>
        <w:jc w:val="both"/>
      </w:pPr>
      <w:r>
        <w:rPr>
          <w:rFonts w:ascii="Times New Roman" w:cs="Times New Roman" w:eastAsia="Times New Roman" w:hAnsi="Times New Roman"/>
          <w:sz w:val="20"/>
          <w:szCs w:val="20"/>
        </w:rPr>
        <w:t xml:space="preserve">La fase 5, de ejecución del instrumento, prevista para el segundo trimestre de 2026, procesará los 30 repositorios con persistencia del output en formato JSON estructurado conteniendo identificador anonimizado, codificación por nivel, explainability textual e indicadores intermedios. La fase 6, de análisis estadístico, calculará kappa de Cohen entre instrumento y codificación humana de referencia consensuada por nivel y sobre el agregado, con intervalos de confianza al 95% por bootstrap con 1000 resamples, construirá las matrices de confusión y desarrollará análisis cualitativo de los casos discordantes. Las hipótesis empíricamente contrastables sobre el resultado de las fases 5 y 6 se formulan en la sección 5.</w:t>
      </w:r>
    </w:p>
    <w:p>
      <w:pPr>
        <w:spacing w:after="120" w:before="240"/>
        <w:jc w:val="left"/>
      </w:pPr>
      <w:r>
        <w:rPr>
          <w:rFonts w:ascii="Times New Roman" w:cs="Times New Roman" w:eastAsia="Times New Roman" w:hAnsi="Times New Roman"/>
          <w:b/>
          <w:bCs/>
          <w:sz w:val="24"/>
          <w:szCs w:val="24"/>
        </w:rPr>
        <w:t xml:space="preserve">4   Implementación del instrumento</w:t>
      </w:r>
    </w:p>
    <w:p>
      <w:pPr>
        <w:spacing w:after="100" w:before="0" w:line="260"/>
        <w:ind w:firstLine="360"/>
        <w:jc w:val="both"/>
      </w:pPr>
      <w:r>
        <w:rPr>
          <w:rFonts w:ascii="Times New Roman" w:cs="Times New Roman" w:eastAsia="Times New Roman" w:hAnsi="Times New Roman"/>
          <w:sz w:val="20"/>
          <w:szCs w:val="20"/>
        </w:rPr>
        <w:t xml:space="preserve">El instrumento se estructura en cuatro componentes con interfaces explícitas. El módulo sintáctico extrae 22 indicadores sobre el AST de cada archivo .py del repositorio: cantidad y diversidad de constructos del lenguaje, profundidad máxima de anidamiento, complejidad ciclomática agregada, presencia y diversidad de manejo de excepciones, presencia de docstrings, longitud media de funciones, número de funciones por archivo, importaciones realizadas y otros. La articulación con N2 es directa porque las decisiones de estrategia dejan huella estructural sobre el AST; con N3 es razonable porque las prácticas de validación dejan huella estructural sobre presencia de tests, excepciones específicas y validación de entradas.</w:t>
      </w:r>
    </w:p>
    <w:p>
      <w:pPr>
        <w:spacing w:after="100" w:before="0" w:line="260"/>
        <w:ind w:firstLine="360"/>
        <w:jc w:val="both"/>
      </w:pPr>
      <w:r>
        <w:rPr>
          <w:rFonts w:ascii="Times New Roman" w:cs="Times New Roman" w:eastAsia="Times New Roman" w:hAnsi="Times New Roman"/>
          <w:sz w:val="20"/>
          <w:szCs w:val="20"/>
        </w:rPr>
        <w:t xml:space="preserve">El módulo histórico procesa el log de git con 12 indicadores derivados: ritmo de commits, distribución temporal, calidad de los mensajes de commit, presencia de menciones a herramientas externas o a IA, indicadores de ciclos de corrección de errores. La articulación primaria es con N3 (commits relacionados con corrección) y con N4 parcial (señales indirectas).</w:t>
      </w:r>
    </w:p>
    <w:p>
      <w:pPr>
        <w:spacing w:after="100" w:before="0" w:line="260"/>
        <w:ind w:firstLine="360"/>
        <w:jc w:val="both"/>
      </w:pPr>
      <w:r>
        <w:rPr>
          <w:rFonts w:ascii="Times New Roman" w:cs="Times New Roman" w:eastAsia="Times New Roman" w:hAnsi="Times New Roman"/>
          <w:sz w:val="20"/>
          <w:szCs w:val="20"/>
        </w:rPr>
        <w:t xml:space="preserve">El módulo semántico utiliza un modelo de lenguaje (Anthropic, 2026) como anotador cualitativo de primera línea sobre el contenido textual del repositorio (README, docstrings, comentarios, mensajes de commit), con cuatro prompts versionados (uno por nivel del modelo) que producen scores por dimensión con explainability textual asociada. La versión específica del modelo subyacente, los hash SHA-256 de los cuatro prompts versionados y el seed de la generación se fijarán formalmente al inicio de la fase 5 y se documentarán en el repositorio del estudio, en coherencia con el principio general de explicitación obligatoria de versión que la tesis de origen prescribe para todo reporte de resultados. Los parámetros operativos comprometidos al cierre del paper son: temperatura 0,2 y modelo de la familia Claude Sonnet 4.x de Anthropic. Conviene aclarar que los prompts del módulo semántico son distintos del prompt del sistema del tutor socrático del sistema AI-Native: aquellos operan sobre repositorios de código entregados, este último opera sobre la interacción tutor-estudiante en tiempo real. El uso del LLM en esta función es justificable a la luz de los reportes consolidados de la literatura sobre acuerdo sustancial con codificación humana experta sobre constructos cuyas evidencias están en el material entregado (Naismith et al., 2023; Borse et al., 2025), pero con la restricción documentada de que el desempeño degrada sobre constructos que requieren información contextual ausente del material —exactamente lo que se anticipa que ocurrirá sobre N4 dada la ausencia del CTR como fuente.</w:t>
      </w:r>
    </w:p>
    <w:p>
      <w:pPr>
        <w:spacing w:after="100" w:before="0" w:line="260"/>
        <w:ind w:firstLine="360"/>
        <w:jc w:val="both"/>
      </w:pPr>
      <w:r>
        <w:rPr>
          <w:rFonts w:ascii="Times New Roman" w:cs="Times New Roman" w:eastAsia="Times New Roman" w:hAnsi="Times New Roman"/>
          <w:sz w:val="20"/>
          <w:szCs w:val="20"/>
        </w:rPr>
        <w:t xml:space="preserve">El módulo articulador consume las salidas de los tres módulos especializados y produce la codificación final por nivel sobre la escala ordinal de cinco puntos mediante reglas explícitas con pesos calibrados durante el desarrollo. La decisión de utilizar reglas explícitas y no un modelo supervisado responde a tres razones: transparencia (la cadena inferencial es auditable, en analogía con el principio de explainability del Clasificador N4 del sistema AI-Native), robustez (con n=30 el riesgo de sobreajuste de un modelo supervisado es alto), e incorporación de conocimiento experto del director sobre los pesos relativos de los indicadores. El output se persiste en JSON estructurado e incluye, junto con la codificación numérica, una explainability textual por nivel y una banda de incertidumbre específica para N4 que refleja la limitación estructural reconocida.</w:t>
      </w:r>
    </w:p>
    <w:p>
      <w:pPr>
        <w:spacing w:after="120" w:before="240"/>
        <w:jc w:val="left"/>
      </w:pPr>
      <w:r>
        <w:rPr>
          <w:rFonts w:ascii="Times New Roman" w:cs="Times New Roman" w:eastAsia="Times New Roman" w:hAnsi="Times New Roman"/>
          <w:b/>
          <w:bCs/>
          <w:sz w:val="24"/>
          <w:szCs w:val="24"/>
        </w:rPr>
        <w:t xml:space="preserve">5   Hipótesis empíricamente contrastables y resultados anticipados</w:t>
      </w:r>
    </w:p>
    <w:p>
      <w:pPr>
        <w:spacing w:after="100" w:before="0" w:line="260"/>
        <w:ind w:firstLine="360"/>
        <w:jc w:val="both"/>
      </w:pPr>
      <w:r>
        <w:rPr>
          <w:rFonts w:ascii="Times New Roman" w:cs="Times New Roman" w:eastAsia="Times New Roman" w:hAnsi="Times New Roman"/>
          <w:sz w:val="20"/>
          <w:szCs w:val="20"/>
        </w:rPr>
        <w:t xml:space="preserve">La validación empírica del instrumento propuesto se orienta por cinco hipótesis empíricamente contrastables formuladas con anterioridad a la ejecución de las fases 5 y 6 del estudio. La formulación previa es metodológicamente importante porque permite distinguir las anticipaciones del modelo de cualquier ajuste ex-post de los criterios de aceptación tras conocer los resultados.</w:t>
      </w:r>
    </w:p>
    <w:p>
      <w:pPr>
        <w:spacing w:after="100" w:before="0" w:line="260"/>
        <w:ind w:firstLine="360"/>
        <w:jc w:val="both"/>
      </w:pPr>
      <w:r>
        <w:rPr>
          <w:rFonts w:ascii="Times New Roman" w:cs="Times New Roman" w:eastAsia="Times New Roman" w:hAnsi="Times New Roman"/>
          <w:sz w:val="20"/>
          <w:szCs w:val="20"/>
        </w:rPr>
        <w:t xml:space="preserve">Una nota terminológica antes de presentar las hipótesis. La tesis de origen formula tres hipótesis sobre el Clasificador N4 operando sobre el CTR completo. Para evitar colisión tipográfica con dichas hipótesis y para preservar la trazabilidad de cada afirmación a su origen, las hipótesis del presente paper se identifican con prefijo HP (hipótesis del paper) y se numeran de forma independiente: HP1 a HP5. La distinción es operativamente importante: las hipótesis HP del paper razonan sobre el repositorio terminado y sobre el instrumento ex-post propuesto; las hipótesis H de la tesis razonan sobre eventos del CTR y sobre el Clasificador N4 del sistema AI-Native. Las dos series son lógicamente independientes.</w:t>
      </w:r>
    </w:p>
    <w:p>
      <w:pPr>
        <w:spacing w:after="100" w:before="180"/>
        <w:jc w:val="left"/>
      </w:pPr>
      <w:r>
        <w:rPr>
          <w:rFonts w:ascii="Times New Roman" w:cs="Times New Roman" w:eastAsia="Times New Roman" w:hAnsi="Times New Roman"/>
          <w:b/>
          <w:bCs/>
          <w:i/>
          <w:iCs/>
          <w:sz w:val="22"/>
          <w:szCs w:val="22"/>
        </w:rPr>
        <w:t xml:space="preserve">5.1  Hipótesis principal sobre concordancia diferencial por nivel</w:t>
      </w:r>
    </w:p>
    <w:p>
      <w:pPr>
        <w:spacing w:after="100" w:before="0" w:line="260"/>
        <w:ind w:firstLine="360"/>
        <w:jc w:val="both"/>
      </w:pPr>
      <w:r>
        <w:rPr>
          <w:rFonts w:ascii="Times New Roman" w:cs="Times New Roman" w:eastAsia="Times New Roman" w:hAnsi="Times New Roman"/>
          <w:sz w:val="20"/>
          <w:szCs w:val="20"/>
        </w:rPr>
        <w:t xml:space="preserve">La hipótesis principal del trabajo se descompone en dos sub-hipótesis articuladas que el estudio empírico se propone contrastar conjuntamente.</w:t>
      </w:r>
    </w:p>
    <w:p>
      <w:pPr>
        <w:spacing w:after="100" w:before="0" w:line="260"/>
        <w:jc w:val="both"/>
      </w:pPr>
      <w:r>
        <w:rPr>
          <w:rFonts w:ascii="Times New Roman" w:cs="Times New Roman" w:eastAsia="Times New Roman" w:hAnsi="Times New Roman"/>
          <w:b/>
          <w:bCs/>
          <w:sz w:val="20"/>
          <w:szCs w:val="20"/>
        </w:rPr>
        <w:t xml:space="preserve">HP1.  </w:t>
      </w:r>
      <w:r>
        <w:rPr>
          <w:rFonts w:ascii="Times New Roman" w:cs="Times New Roman" w:eastAsia="Times New Roman" w:hAnsi="Times New Roman"/>
          <w:sz w:val="20"/>
          <w:szCs w:val="20"/>
        </w:rPr>
        <w:t xml:space="preserve">Sobre los niveles N1 Comprensión, N2 Estrategia y N3 Validación, el instrumento alcanzará concordancia sustancial respecto de la codificación humana experta consensuada, conforme a la convención de Landis y Koch (1977). Esto se traduce en valores de kappa de Cohen en el rango [0,61–0,80], esto es, dentro de la franja sustancial. La fundamentación de HP1 es estructural: las evidencias de los tres primeros niveles dejan huella observable sobre el producto (decisiones de descomposición funcional capturadas por el AST, presencia y cobertura de tests, características del README y de los docstrings) y la sustitución del CTR por el repositorio como fuente, aunque imperfecta, debería preservar suficiente información para concordancia sustancial. El umbral de aceptación normativo adoptado por la tesis de origen para el Clasificador N4 sobre el CTR canónico es κ ≥ 0,60, que el presente trabajo conserva como referencia operativa para evaluar el desempeño del instrumento ex-post sobre los niveles donde la sustitución de fuente es razonable.</w:t>
      </w:r>
    </w:p>
    <w:p>
      <w:pPr>
        <w:spacing w:after="100" w:before="0" w:line="260"/>
        <w:jc w:val="both"/>
      </w:pPr>
      <w:r>
        <w:rPr>
          <w:rFonts w:ascii="Times New Roman" w:cs="Times New Roman" w:eastAsia="Times New Roman" w:hAnsi="Times New Roman"/>
          <w:b/>
          <w:bCs/>
          <w:sz w:val="20"/>
          <w:szCs w:val="20"/>
        </w:rPr>
        <w:t xml:space="preserve">HP2.  </w:t>
      </w:r>
      <w:r>
        <w:rPr>
          <w:rFonts w:ascii="Times New Roman" w:cs="Times New Roman" w:eastAsia="Times New Roman" w:hAnsi="Times New Roman"/>
          <w:sz w:val="20"/>
          <w:szCs w:val="20"/>
        </w:rPr>
        <w:t xml:space="preserve">Sobre el nivel N4 Interacción con IA, el instrumento alcanzará concordancia significativamente menor que sobre los tres primeros niveles, en el rango moderado o inferior conforme a Landis y Koch (1977), esto es κ &lt; 0,60. La fundamentación de HP2 es también estructural pero apunta en sentido inverso: las evidencias canónicas de N4 (prompts enviados, respuestas del tutor, código aceptado con origen externo) son eventos del CTR que no dejan huella estructural sobre el repositorio terminado salvo que el estudiante los explicite voluntariamente. El instrumento operará por inferencia indirecta sobre señales de proxy (atribuciones explícitas, patrones estilísticos, análisis textual) y la codificación N4 resultante es estructuralmente parcial.</w:t>
      </w:r>
    </w:p>
    <w:p>
      <w:pPr>
        <w:spacing w:after="100" w:before="0" w:line="260"/>
        <w:ind w:firstLine="360"/>
        <w:jc w:val="both"/>
      </w:pPr>
      <w:r>
        <w:rPr>
          <w:rFonts w:ascii="Times New Roman" w:cs="Times New Roman" w:eastAsia="Times New Roman" w:hAnsi="Times New Roman"/>
          <w:sz w:val="20"/>
          <w:szCs w:val="20"/>
        </w:rPr>
        <w:t xml:space="preserve">La conjunción HP1 ∧ HP2 constituye la hipótesis principal. La Tabla 1 sintetiza los rangos esperados conforme a la convención de Landis y Koch (1977).</w:t>
      </w:r>
    </w:p>
    <w:p>
      <w:pPr>
        <w:spacing w:after="100" w:before="0" w:line="260"/>
        <w:jc w:val="both"/>
      </w:pPr>
      <w:r>
        <w:rPr>
          <w:rFonts w:ascii="Times New Roman" w:cs="Times New Roman" w:eastAsia="Times New Roman" w:hAnsi="Times New Roman"/>
          <w:b/>
          <w:bCs/>
          <w:i/>
          <w:iCs/>
          <w:sz w:val="18"/>
          <w:szCs w:val="18"/>
        </w:rPr>
        <w:t xml:space="preserve">Tabla 1.  </w:t>
      </w:r>
      <w:r>
        <w:rPr>
          <w:rFonts w:ascii="Times New Roman" w:cs="Times New Roman" w:eastAsia="Times New Roman" w:hAnsi="Times New Roman"/>
          <w:i/>
          <w:iCs/>
          <w:sz w:val="18"/>
          <w:szCs w:val="18"/>
        </w:rPr>
        <w:t xml:space="preserve">Rangos de concordancia esperados por nivel del Modelo N4 conforme a las hipótesis HP1 y HP2. Convención de interpretación de kappa según Landis y Koch (1977).</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300"/>
      </w:tblGrid>
      <w:tr>
        <w:trPr>
          <w:tblHeader/>
        </w:trPr>
        <w:tc>
          <w:tcPr>
            <w:tcW w:type="dxa" w:w="22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Nivel</w:t>
            </w:r>
          </w:p>
        </w:tc>
        <w:tc>
          <w:tcPr>
            <w:tcW w:type="dxa" w:w="20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Rango κ esperado</w:t>
            </w:r>
          </w:p>
        </w:tc>
        <w:tc>
          <w:tcPr>
            <w:tcW w:type="dxa" w:w="24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Categoría Landis-Koch</w:t>
            </w:r>
          </w:p>
        </w:tc>
        <w:tc>
          <w:tcPr>
            <w:tcW w:type="dxa" w:w="23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Cumple κ ≥ 0,60</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N1 Comprensión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0,80]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N2 Estrategia</w:t>
            </w:r>
          </w:p>
        </w:tc>
        <w:tc>
          <w:tcPr>
            <w:tcW w:type="dxa" w:w="20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0,90]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 / Casi perfecto</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N3 Validación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0,80]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N4 Interacción IA</w:t>
            </w:r>
          </w:p>
        </w:tc>
        <w:tc>
          <w:tcPr>
            <w:tcW w:type="dxa" w:w="20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[0,21 — 0,60]</w:t>
            </w:r>
          </w:p>
        </w:tc>
        <w:tc>
          <w:tcPr>
            <w:tcW w:type="dxa" w:w="24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Justo / Moderado</w:t>
            </w:r>
          </w:p>
        </w:tc>
        <w:tc>
          <w:tcPr>
            <w:tcW w:type="dxa" w:w="23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No</w:t>
            </w:r>
          </w:p>
        </w:tc>
      </w:tr>
    </w:tbl>
    <w:p>
      <w:pPr>
        <w:spacing w:after="100" w:before="0" w:line="260"/>
        <w:jc w:val="both"/>
      </w:pPr>
      <w:r>
        <w:rPr>
          <w:rFonts w:ascii="Times New Roman" w:cs="Times New Roman" w:eastAsia="Times New Roman" w:hAnsi="Times New Roman"/>
          <w:sz w:val="14"/>
          <w:szCs w:val="14"/>
        </w:rPr>
        <w:t xml:space="preserve"/>
      </w:r>
    </w:p>
    <w:p>
      <w:pPr>
        <w:spacing w:after="100" w:before="180"/>
        <w:jc w:val="left"/>
      </w:pPr>
      <w:r>
        <w:rPr>
          <w:rFonts w:ascii="Times New Roman" w:cs="Times New Roman" w:eastAsia="Times New Roman" w:hAnsi="Times New Roman"/>
          <w:b/>
          <w:bCs/>
          <w:i/>
          <w:iCs/>
          <w:sz w:val="22"/>
          <w:szCs w:val="22"/>
        </w:rPr>
        <w:t xml:space="preserve">5.2  Hipótesis subordinada sobre eficiencia operativa</w:t>
      </w:r>
    </w:p>
    <w:p>
      <w:pPr>
        <w:spacing w:after="100" w:before="0" w:line="260"/>
        <w:jc w:val="both"/>
      </w:pPr>
      <w:r>
        <w:rPr>
          <w:rFonts w:ascii="Times New Roman" w:cs="Times New Roman" w:eastAsia="Times New Roman" w:hAnsi="Times New Roman"/>
          <w:b/>
          <w:bCs/>
          <w:sz w:val="20"/>
          <w:szCs w:val="20"/>
        </w:rPr>
        <w:t xml:space="preserve">HP3.  </w:t>
      </w:r>
      <w:r>
        <w:rPr>
          <w:rFonts w:ascii="Times New Roman" w:cs="Times New Roman" w:eastAsia="Times New Roman" w:hAnsi="Times New Roman"/>
          <w:sz w:val="20"/>
          <w:szCs w:val="20"/>
        </w:rPr>
        <w:t xml:space="preserve">El tiempo medio de codificación por repositorio del instrumento automatizado será de orden de magnitud menor que el tiempo de codificación humana experta consensuada, con reducción esperada superior al 90%. La fundamentación es operativa: la codificación humana requiere lectura del README, exploración del AST con herramientas estándar, revisión del log de git y, eventualmente, lectura de la bitácora del estudiante; el instrumento ejecuta análisis sintáctico mediante librería ast, análisis histórico mediante GitPython y dos invocaciones secuenciales al modelo de lenguaje subyacente. El cuello de botella esperado es el módulo semántico, dado el carácter síncrono de las invocaciones al modelo. La confirmación de HP3 viabilizará la incorporación del instrumento como tamiz de primera línea sobre cohortes completas con codificación humana focalizada en los casos sensibles, particularmente sobre N4.</w:t>
      </w:r>
    </w:p>
    <w:p>
      <w:pPr>
        <w:spacing w:after="100" w:before="180"/>
        <w:jc w:val="left"/>
      </w:pPr>
      <w:r>
        <w:rPr>
          <w:rFonts w:ascii="Times New Roman" w:cs="Times New Roman" w:eastAsia="Times New Roman" w:hAnsi="Times New Roman"/>
          <w:b/>
          <w:bCs/>
          <w:i/>
          <w:iCs/>
          <w:sz w:val="22"/>
          <w:szCs w:val="22"/>
        </w:rPr>
        <w:t xml:space="preserve">5.3  Hipótesis epistemológica sobre soporte empírico por contraste</w:t>
      </w:r>
    </w:p>
    <w:p>
      <w:pPr>
        <w:spacing w:after="100" w:before="0" w:line="260"/>
        <w:jc w:val="both"/>
      </w:pPr>
      <w:r>
        <w:rPr>
          <w:rFonts w:ascii="Times New Roman" w:cs="Times New Roman" w:eastAsia="Times New Roman" w:hAnsi="Times New Roman"/>
          <w:b/>
          <w:bCs/>
          <w:sz w:val="20"/>
          <w:szCs w:val="20"/>
        </w:rPr>
        <w:t xml:space="preserve">HP4.  </w:t>
      </w:r>
      <w:r>
        <w:rPr>
          <w:rFonts w:ascii="Times New Roman" w:cs="Times New Roman" w:eastAsia="Times New Roman" w:hAnsi="Times New Roman"/>
          <w:sz w:val="20"/>
          <w:szCs w:val="20"/>
        </w:rPr>
        <w:t xml:space="preserve">Si la conjunción HP1 ∧ HP2 se confirma empíricamente —es decir, si la concordancia diferencial efectivamente observada respeta la distribución anticipada—, esa distribución aporta soporte empírico indirecto, por contraste, al principio de articulación constitutiva entre constructo y arquitectura postulado por la tesis de origen como decisión de diseño (Cortez, 2026). La fundamentación de HP4 es lógica: la tesis sostiene que el modelo necesita su arquitectura, esto es, que la codificación canónica del Modelo N4 procede desde el CTR y no desde fuentes alternativas; este es un principio de diseño, no una hipótesis empíricamente contrastable en sentido estricto. Sin embargo, las consecuencias empíricas de adherir a ese principio sí son observables indirectamente: si una fuente alternativa al CTR (el repositorio terminado) preserva concordancia sobre los niveles donde las evidencias dejan huella sobre el producto pero pierde validez sobre el nivel cuyas evidencias residen en la cadena de interacciones con el asistente, entonces la opción de la tesis por el CTR como fuente queda fundamentada empíricamente por contraste. La pérdida de validez sobre exactamente el nivel donde el modelo pone su apuesta más original —la interacción con IA tratada como nivel autónomo, no como subsidiaria de los anteriores— opera, así, como evidencia indirecta a favor del principio de articulación constitutiva. Esta hipótesis, de carácter meta-empírico, se evaluará mediante análisis cualitativo de la distribución observada y mediante comparación con la línea de base inter-humana sobre el mismo material. El presente trabajo no afirma validar el principio en sentido estricto; afirma aportar evidencia indirecta que es coherente con él.</w:t>
      </w:r>
    </w:p>
    <w:p>
      <w:pPr>
        <w:spacing w:after="100" w:before="180"/>
        <w:jc w:val="left"/>
      </w:pPr>
      <w:r>
        <w:rPr>
          <w:rFonts w:ascii="Times New Roman" w:cs="Times New Roman" w:eastAsia="Times New Roman" w:hAnsi="Times New Roman"/>
          <w:b/>
          <w:bCs/>
          <w:i/>
          <w:iCs/>
          <w:sz w:val="22"/>
          <w:szCs w:val="22"/>
        </w:rPr>
        <w:t xml:space="preserve">5.4  Hipótesis sobre la línea de base inter-humana</w:t>
      </w:r>
    </w:p>
    <w:p>
      <w:pPr>
        <w:spacing w:after="100" w:before="0" w:line="260"/>
        <w:jc w:val="both"/>
      </w:pPr>
      <w:r>
        <w:rPr>
          <w:rFonts w:ascii="Times New Roman" w:cs="Times New Roman" w:eastAsia="Times New Roman" w:hAnsi="Times New Roman"/>
          <w:b/>
          <w:bCs/>
          <w:sz w:val="20"/>
          <w:szCs w:val="20"/>
        </w:rPr>
        <w:t xml:space="preserve">HP5.  </w:t>
      </w:r>
      <w:r>
        <w:rPr>
          <w:rFonts w:ascii="Times New Roman" w:cs="Times New Roman" w:eastAsia="Times New Roman" w:hAnsi="Times New Roman"/>
          <w:sz w:val="20"/>
          <w:szCs w:val="20"/>
        </w:rPr>
        <w:t xml:space="preserve">La concordancia inter-humana entre los dos codificadores expertos sobre la misma muestra de 30 repositorios mostrará la misma distribución diferencial que el instrumento automático: sustancial o casi perfecta sobre N1, N2 y N3; significativamente menor sobre N4. La fundamentación es la misma que para HP2 pero aplicada al juicio humano experto: si la fuente disponible (repositorio sin CTR) es estructuralmente insuficiente para codificar N4, esa insuficiencia debería manifestarse también en codificadores humanos expertos. La confirmación de HP5 reforzaría la lectura de la limitación como propiedad de la fuente y no como defecto del instrumento, soporte adicional a HP4.</w:t>
      </w:r>
    </w:p>
    <w:p>
      <w:pPr>
        <w:spacing w:after="100" w:before="180"/>
        <w:jc w:val="left"/>
      </w:pPr>
      <w:r>
        <w:rPr>
          <w:rFonts w:ascii="Times New Roman" w:cs="Times New Roman" w:eastAsia="Times New Roman" w:hAnsi="Times New Roman"/>
          <w:b/>
          <w:bCs/>
          <w:i/>
          <w:iCs/>
          <w:sz w:val="22"/>
          <w:szCs w:val="22"/>
        </w:rPr>
        <w:t xml:space="preserve">5.5  Esquema de evaluación de las hipótesis</w:t>
      </w:r>
    </w:p>
    <w:p>
      <w:pPr>
        <w:spacing w:after="100" w:before="0" w:line="260"/>
        <w:ind w:firstLine="360"/>
        <w:jc w:val="both"/>
      </w:pPr>
      <w:r>
        <w:rPr>
          <w:rFonts w:ascii="Times New Roman" w:cs="Times New Roman" w:eastAsia="Times New Roman" w:hAnsi="Times New Roman"/>
          <w:sz w:val="20"/>
          <w:szCs w:val="20"/>
        </w:rPr>
        <w:t xml:space="preserve">La Tabla 2 sintetiza las cuatro combinaciones posibles de los resultados sobre HP1 y HP2 y las implicaciones de cada una sobre el ecosistema teórico de origen. La tabla operacionaliza el carácter falsable del estudio: cada combinación tiene consecuencias diferentes sobre la validez del modelo conceptual y sobre la utilidad operativa del instrumento.</w:t>
      </w:r>
    </w:p>
    <w:p>
      <w:pPr>
        <w:spacing w:after="100" w:before="0" w:line="260"/>
        <w:jc w:val="both"/>
      </w:pPr>
      <w:r>
        <w:rPr>
          <w:rFonts w:ascii="Times New Roman" w:cs="Times New Roman" w:eastAsia="Times New Roman" w:hAnsi="Times New Roman"/>
          <w:b/>
          <w:bCs/>
          <w:i/>
          <w:iCs/>
          <w:sz w:val="18"/>
          <w:szCs w:val="18"/>
        </w:rPr>
        <w:t xml:space="preserve">Tabla 2.  </w:t>
      </w:r>
      <w:r>
        <w:rPr>
          <w:rFonts w:ascii="Times New Roman" w:cs="Times New Roman" w:eastAsia="Times New Roman" w:hAnsi="Times New Roman"/>
          <w:i/>
          <w:iCs/>
          <w:sz w:val="18"/>
          <w:szCs w:val="18"/>
        </w:rPr>
        <w:t xml:space="preserve">Esquema de implicaciones de cada combinación posible de resultados sobre HP1 y HP2.</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400"/>
      </w:tblGrid>
      <w:tr>
        <w:trPr>
          <w:tblHeader/>
        </w:trPr>
        <w:tc>
          <w:tcPr>
            <w:tcW w:type="dxa" w:w="22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Resultado HP1</w:t>
            </w:r>
          </w:p>
        </w:tc>
        <w:tc>
          <w:tcPr>
            <w:tcW w:type="dxa" w:w="23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Resultado HP2</w:t>
            </w:r>
          </w:p>
        </w:tc>
        <w:tc>
          <w:tcPr>
            <w:tcW w:type="dxa" w:w="44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Implicación principal</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44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Distribución estructuralmente coherente: HP4 (soporte empírico por contraste) se sostiene; instrumento útil sobre N1-N3, insuficiente como autónomo sobre N4.</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 (κ ≥ 0,60 sobre N4)</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Hallazgo inesperado: el repositorio captura más información sobre interacción con IA que la prevista. Habría que reformular la articulación constitutiva del modelo y el alcance del CTR.</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 (κ &lt; 0,61 sobre algún nivel)</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Hipótesis estructural correcta sobre N4 pero el instrumento es insuficiente sobre algún nivel previamente esperado robusto. Indica defectos del diseño del módulo correspondiente y abre agenda de refinamiento.</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Resultado más adverso: el instrumento no alcanza el umbral en ningún nivel y no se puede sostener la lectura epistemológica. Habría que rediseñar la pipeline o reconsiderar la viabilidad del enfoque.</w:t>
            </w:r>
          </w:p>
        </w:tc>
      </w:tr>
    </w:tbl>
    <w:p>
      <w:pPr>
        <w:spacing w:after="100" w:before="0" w:line="260"/>
        <w:jc w:val="both"/>
      </w:pPr>
      <w:r>
        <w:rPr>
          <w:rFonts w:ascii="Times New Roman" w:cs="Times New Roman" w:eastAsia="Times New Roman" w:hAnsi="Times New Roman"/>
          <w:sz w:val="14"/>
          <w:szCs w:val="14"/>
        </w:rPr>
        <w:t xml:space="preserve"/>
      </w:r>
    </w:p>
    <w:p>
      <w:pPr>
        <w:spacing w:after="100" w:before="0" w:line="260"/>
        <w:ind w:firstLine="360"/>
        <w:jc w:val="both"/>
      </w:pPr>
      <w:r>
        <w:rPr>
          <w:rFonts w:ascii="Times New Roman" w:cs="Times New Roman" w:eastAsia="Times New Roman" w:hAnsi="Times New Roman"/>
          <w:sz w:val="20"/>
          <w:szCs w:val="20"/>
        </w:rPr>
        <w:t xml:space="preserve">La explicitación previa de las cuatro combinaciones es metodológicamente importante porque protege la interpretación del estudio contra el sesgo de confirmación: cada combinación tiene asociada una implicación específica que deberá honrarse independientemente de cuál se observe efectivamente.</w:t>
      </w:r>
    </w:p>
    <w:p>
      <w:pPr>
        <w:spacing w:after="120" w:before="240"/>
        <w:jc w:val="left"/>
      </w:pPr>
      <w:r>
        <w:rPr>
          <w:rFonts w:ascii="Times New Roman" w:cs="Times New Roman" w:eastAsia="Times New Roman" w:hAnsi="Times New Roman"/>
          <w:b/>
          <w:bCs/>
          <w:sz w:val="24"/>
          <w:szCs w:val="24"/>
        </w:rPr>
        <w:t xml:space="preserve">6   Discusión sobre las implicaciones del estudio propuesto</w:t>
      </w:r>
    </w:p>
    <w:p>
      <w:pPr>
        <w:spacing w:after="100" w:before="180"/>
        <w:jc w:val="left"/>
      </w:pPr>
      <w:r>
        <w:rPr>
          <w:rFonts w:ascii="Times New Roman" w:cs="Times New Roman" w:eastAsia="Times New Roman" w:hAnsi="Times New Roman"/>
          <w:b/>
          <w:bCs/>
          <w:i/>
          <w:iCs/>
          <w:sz w:val="22"/>
          <w:szCs w:val="22"/>
        </w:rPr>
        <w:t xml:space="preserve">6.1  Articulación con la tesis de origen</w:t>
      </w:r>
    </w:p>
    <w:p>
      <w:pPr>
        <w:spacing w:after="100" w:before="0" w:line="260"/>
        <w:ind w:firstLine="360"/>
        <w:jc w:val="both"/>
      </w:pPr>
      <w:r>
        <w:rPr>
          <w:rFonts w:ascii="Times New Roman" w:cs="Times New Roman" w:eastAsia="Times New Roman" w:hAnsi="Times New Roman"/>
          <w:sz w:val="20"/>
          <w:szCs w:val="20"/>
        </w:rPr>
        <w:t xml:space="preserve">La inscripción del presente trabajo en el ecosistema teórico de Cortez (2026) es estricta: el referente normativo del Modelo N4 es la formulación consolidada de la tesis y la articulación constitutiva entre modelo y arquitectura es respetada. El instrumento propuesto no se presenta como Clasificador N4 sino como aproximación ex-post complementaria que opera sobre fuente distinta a la canónica. El output, una vez ejecutada la validación, deberá interpretarse como “codificación parcial sobre repositorio sin CTR disponible” y no como “codificación N4”. La diferencia no es semántica sino constitutiva: el Clasificador N4 del sistema AI-Native opera sobre eventos del CTR encadenados criptográficamente y sostiene sus afirmaciones sobre la trayectoria cognitiva completa; el instrumento propuesto operará sobre el producto y sostendrá sus afirmaciones sobre las huellas que la trayectoria dejó sobre él.</w:t>
      </w:r>
    </w:p>
    <w:p>
      <w:pPr>
        <w:spacing w:after="100" w:before="0" w:line="260"/>
        <w:ind w:firstLine="360"/>
        <w:jc w:val="both"/>
      </w:pPr>
      <w:r>
        <w:rPr>
          <w:rFonts w:ascii="Times New Roman" w:cs="Times New Roman" w:eastAsia="Times New Roman" w:hAnsi="Times New Roman"/>
          <w:sz w:val="20"/>
          <w:szCs w:val="20"/>
        </w:rPr>
        <w:t xml:space="preserve">Conviene explicitar también, en este punto, el alcance del régimen de gobernanza que el presente paper propone. El instrumento aquí descrito opera sobre el producto entregado y opera, por construcción, sin acceso al tutor socrático ni al CTR. Su rol no es reemplazar el régimen de gobernanza completo del sistema AI-Native sino aportar una pieza de observabilidad parcial donde el régimen completo no está desplegado. En particular, el instrumento no sustituye la configuración pedagógica de la herramienta misma: cuando el contexto institucional habilita el despliegue del tutor socrático con prompt versionado y guardarraíles explícitos, esa pieza opera sobre el lado del proceso y resulta jerárquicamente prioritaria respecto del instrumento ex-post. La gobernanza más fuerte se obtiene articulando ambas piezas; la gobernanza disponible en cohortes sin sistema AI-Native es necesariamente más débil pero no nula, y el presente instrumento se postula como pieza viable para esa franja institucional.</w:t>
      </w:r>
    </w:p>
    <w:p>
      <w:pPr>
        <w:spacing w:after="100" w:before="180"/>
        <w:jc w:val="left"/>
      </w:pPr>
      <w:r>
        <w:rPr>
          <w:rFonts w:ascii="Times New Roman" w:cs="Times New Roman" w:eastAsia="Times New Roman" w:hAnsi="Times New Roman"/>
          <w:b/>
          <w:bCs/>
          <w:i/>
          <w:iCs/>
          <w:sz w:val="22"/>
          <w:szCs w:val="22"/>
        </w:rPr>
        <w:t xml:space="preserve">6.2  Implicaciones del escenario HP1 ∧ HP2 confirmadas</w:t>
      </w:r>
    </w:p>
    <w:p>
      <w:pPr>
        <w:spacing w:after="100" w:before="0" w:line="260"/>
        <w:ind w:firstLine="360"/>
        <w:jc w:val="both"/>
      </w:pPr>
      <w:r>
        <w:rPr>
          <w:rFonts w:ascii="Times New Roman" w:cs="Times New Roman" w:eastAsia="Times New Roman" w:hAnsi="Times New Roman"/>
          <w:sz w:val="20"/>
          <w:szCs w:val="20"/>
        </w:rPr>
        <w:t xml:space="preserve">Si la conjunción HP1 ∧ HP2 se confirma empíricamente, la distribución diferencial obtenida constituiría la contribución epistemológica principal del trabajo. Si el resultado fuera concordancia uniforme sobre los cuatro niveles, el instrumento podría sostenerse como sustituto razonable del Clasificador N4 sobre fuente alternativa, y la tesis de origen perdería parte de su fuerza argumentativa: si el repositorio basta para codificar el modelo, ¿por qué exigir el CTR? La distribución que HP1 ∧ HP2 anticipa es la opuesta: los tres niveles cuyas evidencias están en el producto alcanzan el umbral normativo con holgura, pero el cuarto nivel —que la tesis declara como contribución más distintiva del modelo— queda significativamente por debajo. La pérdida de validez sobre exactamente el nivel donde el modelo pone su apuesta más original, la interacción con IA tratada como nivel autónomo, operaría como evidencia indirecta favorable al principio de articulación constitutiva entre modelo y arquitectura. La tesis no necesita el CTR por capricho técnico sino por una razón estructural: el constructo central del modelo no se observa adecuadamente sin él.</w:t>
      </w:r>
    </w:p>
    <w:p>
      <w:pPr>
        <w:spacing w:after="100" w:before="0" w:line="260"/>
        <w:ind w:firstLine="360"/>
        <w:jc w:val="both"/>
      </w:pPr>
      <w:r>
        <w:rPr>
          <w:rFonts w:ascii="Times New Roman" w:cs="Times New Roman" w:eastAsia="Times New Roman" w:hAnsi="Times New Roman"/>
          <w:sz w:val="20"/>
          <w:szCs w:val="20"/>
        </w:rPr>
        <w:t xml:space="preserve">Esta lectura se reforzaría por la confirmación adicional de HP5 (línea de base inter-humana). Si codificadores humanos expertos —incluido el doctorando autor del modelo— también encuentran difícil la codificación de N4 sobre el repositorio, la dificultad es atribuible a la fuente y no al instrumento. El estudio aportaría, en consecuencia, soporte empírico externo a una decisión de diseño que la tesis de origen había sostenido por argumento conceptual.</w:t>
      </w:r>
    </w:p>
    <w:p>
      <w:pPr>
        <w:spacing w:after="100" w:before="180"/>
        <w:jc w:val="left"/>
      </w:pPr>
      <w:r>
        <w:rPr>
          <w:rFonts w:ascii="Times New Roman" w:cs="Times New Roman" w:eastAsia="Times New Roman" w:hAnsi="Times New Roman"/>
          <w:b/>
          <w:bCs/>
          <w:i/>
          <w:iCs/>
          <w:sz w:val="22"/>
          <w:szCs w:val="22"/>
        </w:rPr>
        <w:t xml:space="preserve">6.3  Implicaciones de los escenarios alternativos</w:t>
      </w:r>
    </w:p>
    <w:p>
      <w:pPr>
        <w:spacing w:after="100" w:before="0" w:line="260"/>
        <w:ind w:firstLine="360"/>
        <w:jc w:val="both"/>
      </w:pPr>
      <w:r>
        <w:rPr>
          <w:rFonts w:ascii="Times New Roman" w:cs="Times New Roman" w:eastAsia="Times New Roman" w:hAnsi="Times New Roman"/>
          <w:sz w:val="20"/>
          <w:szCs w:val="20"/>
        </w:rPr>
        <w:t xml:space="preserve">Los tres escenarios alternativos identificados en la Tabla 2 tienen, cada uno, implicaciones específicas que el equipo investigador honrará independientemente de la preferencia previa por el escenario HP1 ∧ HP2.</w:t>
      </w:r>
    </w:p>
    <w:p>
      <w:pPr>
        <w:spacing w:after="100" w:before="0" w:line="260"/>
        <w:ind w:firstLine="360"/>
        <w:jc w:val="both"/>
      </w:pPr>
      <w:r>
        <w:rPr>
          <w:rFonts w:ascii="Times New Roman" w:cs="Times New Roman" w:eastAsia="Times New Roman" w:hAnsi="Times New Roman"/>
          <w:sz w:val="20"/>
          <w:szCs w:val="20"/>
        </w:rPr>
        <w:t xml:space="preserve">Si HP2 se refuta (concordancia ≥ 0,60 sobre N4), el hallazgo sería inesperado y obligaría a reformular la articulación constitutiva del modelo: el repositorio captura más información sobre interacción con IA que la prevista. Esto podría deberse a que los estudiantes de la cohorte estudiada hicieron explícita su atribución del uso de IA con frecuencia mayor a la esperada, lo que sería información pedagógica relevante por sí misma. La interpretación específica dependería del análisis cualitativo de los casos.</w:t>
      </w:r>
    </w:p>
    <w:p>
      <w:pPr>
        <w:spacing w:after="100" w:before="0" w:line="260"/>
        <w:ind w:firstLine="360"/>
        <w:jc w:val="both"/>
      </w:pPr>
      <w:r>
        <w:rPr>
          <w:rFonts w:ascii="Times New Roman" w:cs="Times New Roman" w:eastAsia="Times New Roman" w:hAnsi="Times New Roman"/>
          <w:sz w:val="20"/>
          <w:szCs w:val="20"/>
        </w:rPr>
        <w:t xml:space="preserve">Si HP1 se refuta sobre algún nivel previamente esperado robusto (concordancia &lt; 0,61 sobre N1, N2 o N3), la interpretación sería que el módulo correspondiente del instrumento es insuficiente y abre agenda específica de refinamiento. La hipótesis estructural sobre N4 (HP2) podría seguir siendo correcta pero el aporte epistemológico (HP4) quedaría mitigado mientras el instrumento no alcance concordancia razonable sobre los niveles donde la fuente sí debería ser suficiente.</w:t>
      </w:r>
    </w:p>
    <w:p>
      <w:pPr>
        <w:spacing w:after="100" w:before="0" w:line="260"/>
        <w:ind w:firstLine="360"/>
        <w:jc w:val="both"/>
      </w:pPr>
      <w:r>
        <w:rPr>
          <w:rFonts w:ascii="Times New Roman" w:cs="Times New Roman" w:eastAsia="Times New Roman" w:hAnsi="Times New Roman"/>
          <w:sz w:val="20"/>
          <w:szCs w:val="20"/>
        </w:rPr>
        <w:t xml:space="preserve">Si tanto HP1 como HP2 se refutan, el escenario más adverso, la interpretación sería que el enfoque de inferencia ex-post sobre repositorio sin CTR no es viable con la pipeline actualmente diseñada y obligaría a reconsiderar el alcance de la propuesta. Este escenario, aunque improbable a la luz de la literatura sobre LLMs como anotadores de constructos cuyas evidencias están en la fuente entregada (Naismith et al., 2023; Borse et al., 2025), debe considerarse epistemológicamente posible y constituye precisamente el núcleo de la falsabilidad del estudio.</w:t>
      </w:r>
    </w:p>
    <w:p>
      <w:pPr>
        <w:spacing w:after="100" w:before="180"/>
        <w:jc w:val="left"/>
      </w:pPr>
      <w:r>
        <w:rPr>
          <w:rFonts w:ascii="Times New Roman" w:cs="Times New Roman" w:eastAsia="Times New Roman" w:hAnsi="Times New Roman"/>
          <w:b/>
          <w:bCs/>
          <w:i/>
          <w:iCs/>
          <w:sz w:val="22"/>
          <w:szCs w:val="22"/>
        </w:rPr>
        <w:t xml:space="preserve">6.4  Implicaciones operativas y prácticas de uso responsable</w:t>
      </w:r>
    </w:p>
    <w:p>
      <w:pPr>
        <w:spacing w:after="100" w:before="0" w:line="260"/>
        <w:ind w:firstLine="360"/>
        <w:jc w:val="both"/>
      </w:pPr>
      <w:r>
        <w:rPr>
          <w:rFonts w:ascii="Times New Roman" w:cs="Times New Roman" w:eastAsia="Times New Roman" w:hAnsi="Times New Roman"/>
          <w:sz w:val="20"/>
          <w:szCs w:val="20"/>
        </w:rPr>
        <w:t xml:space="preserve">Si las hipótesis principales se confirman, el instrumento sería útil como detector de primera línea sobre repositorios sin CTR disponible, particularmente productivo sobre N1, N2 y N3, e insuficiente como codificador autónomo sobre N4. Su uso responsable requeriría cinco prácticas: (i) presentar el output como “codificación parcial sobre repositorio sin CTR” y no como “codificación N4”; (ii) acompañar el output con explicitación de las limitaciones; (iii) reservar la codificación humana experta para los casos sensibles, particularmente sobre N4; (iv) no usar el output como criterio único en decisiones de alto stake (acreditación, certificación); (v) recalibrar periódicamente por la evolución del estado del arte de los modelos generativos (Lau y Guo, 2023; Finnie-Ansley et al., 2022).</w:t>
      </w:r>
    </w:p>
    <w:p>
      <w:pPr>
        <w:spacing w:after="100" w:before="0" w:line="260"/>
        <w:ind w:firstLine="360"/>
        <w:jc w:val="both"/>
      </w:pPr>
      <w:r>
        <w:rPr>
          <w:rFonts w:ascii="Times New Roman" w:cs="Times New Roman" w:eastAsia="Times New Roman" w:hAnsi="Times New Roman"/>
          <w:sz w:val="20"/>
          <w:szCs w:val="20"/>
        </w:rPr>
        <w:t xml:space="preserve">Para el ecosistema del sistema AI-Native, la confirmación de las hipótesis dejaría dos implicaciones operativas. Primero, el módulo de detección de patrones estilísticos del presente instrumento (basado en Idialu et al., 2024 y Rahman et al., 2024) sería articulable con el sistema AI-Native como detector complementario para uso de modelos externos al sistema (ChatGPT en otra ventana, Copilot en el editor) que el CTR no captura por estar fuera del perímetro de instrumentación. Segundo, la línea de base inter-humana esperada sobre repositorio sin CTR proveería información indirecta sobre la dificultad esperable de la codificación humana de N4 cuando la fuente es parcial; el protocolo de validación del Clasificador N4 documentado en la tesis debería reportar la concordancia inter-humana específica sobre N4 con CTR como métrica de calidad de la fuente.</w:t>
      </w:r>
    </w:p>
    <w:p>
      <w:pPr>
        <w:spacing w:after="100" w:before="180"/>
        <w:jc w:val="left"/>
      </w:pPr>
      <w:r>
        <w:rPr>
          <w:rFonts w:ascii="Times New Roman" w:cs="Times New Roman" w:eastAsia="Times New Roman" w:hAnsi="Times New Roman"/>
          <w:b/>
          <w:bCs/>
          <w:i/>
          <w:iCs/>
          <w:sz w:val="22"/>
          <w:szCs w:val="22"/>
        </w:rPr>
        <w:t xml:space="preserve">6.5  Limitaciones reconocidas del estudio propuesto</w:t>
      </w:r>
    </w:p>
    <w:p>
      <w:pPr>
        <w:spacing w:after="100" w:before="0" w:line="260"/>
        <w:ind w:firstLine="360"/>
        <w:jc w:val="both"/>
      </w:pPr>
      <w:r>
        <w:rPr>
          <w:rFonts w:ascii="Times New Roman" w:cs="Times New Roman" w:eastAsia="Times New Roman" w:hAnsi="Times New Roman"/>
          <w:sz w:val="20"/>
          <w:szCs w:val="20"/>
        </w:rPr>
        <w:t xml:space="preserve">Cinco limitaciones se reconocen explícitamente desde el diseño. Primero, el corpus es de tamaño modesto (n=30) y se restringe a una única cátedra (Programación de la TUPAD-UTN), una única curricula y un único lenguaje (Python). Aunque la cobertura geográfica de la TUPAD es federal —los estudiantes provienen del consorcio nacional de diecinueve Facultades Regionales—, todos cursan bajo la misma propuesta académica común, lo que limita la diversidad de la experiencia formativa subyacente. La generalización a otras asignaturas, niveles curriculares avanzados u otros lenguajes requerirá replicación específica. Segundo, la codificación humana de referencia utilizará al director del trabajo como uno de los dos codificadores, lo que mitiga riesgo de validación circular pero no lo elimina; la replicación con codificadores ambos externos al desarrollo del modelo es agenda futura. Tercero, la elección del modelo subyacente para el módulo semántico es contingente al estado del arte al inicio del trabajo; la evolución sostenida de los modelos generativos exige recalibración periódica con cadencia semestral. Cuarto, el módulo de detección de patrones estilísticos opera sobre indicadores derivados de Idialu et al. (2024) y Rahman et al. (2024) pero el presente trabajo no validará específicamente su precisión sobre el corpus argentino contemporáneo. Quinto, la pipeline no incorpora aún mecanismos de auditabilidad externa equivalentes al integrity-attestation-service del sistema AI-Native; la incorporación es agenda futura.</w:t>
      </w:r>
    </w:p>
    <w:p>
      <w:pPr>
        <w:spacing w:after="120" w:before="240"/>
        <w:jc w:val="left"/>
      </w:pPr>
      <w:r>
        <w:rPr>
          <w:rFonts w:ascii="Times New Roman" w:cs="Times New Roman" w:eastAsia="Times New Roman" w:hAnsi="Times New Roman"/>
          <w:b/>
          <w:bCs/>
          <w:sz w:val="24"/>
          <w:szCs w:val="24"/>
        </w:rPr>
        <w:t xml:space="preserve">7   Conclusiones y plan de ejecución</w:t>
      </w:r>
    </w:p>
    <w:p>
      <w:pPr>
        <w:spacing w:after="100" w:before="0" w:line="260"/>
        <w:ind w:firstLine="360"/>
        <w:jc w:val="both"/>
      </w:pPr>
      <w:r>
        <w:rPr>
          <w:rFonts w:ascii="Times New Roman" w:cs="Times New Roman" w:eastAsia="Times New Roman" w:hAnsi="Times New Roman"/>
          <w:sz w:val="20"/>
          <w:szCs w:val="20"/>
        </w:rPr>
        <w:t xml:space="preserve">El paper presenta una propuesta de instrumento automatizado para la codificación parcial de evidencias del Modelo N4 (Cortez, 2026) sobre repositorios de código sin Cognitive Trace Record disponible. La propuesta articula tres módulos especializados (sintáctico AST, histórico git, semántico LLM) en una pipeline reproducible con módulo articulador basado en reglas explícitas. La validación empírica se ejecutará durante 2026 sobre 30 repositorios reales correspondientes a la cátedra de Programación de la cohorte 2025 de la Tecnicatura Universitaria en Programación a Distancia (TUPAD-UTN), programa nacional administrado por consorcio entre diecinueve Facultades Regionales del país, con codificación humana experta consensuada como línea de base, y se evaluará mediante kappa de Cohen contrastando cinco hipótesis empíricamente formuladas (HP1 a HP5) cuya combinación de resultados deriva en cuatro escenarios interpretativos previamente explicitados (Tabla 2).</w:t>
      </w:r>
    </w:p>
    <w:p>
      <w:pPr>
        <w:spacing w:after="100" w:before="0" w:line="260"/>
        <w:ind w:firstLine="360"/>
        <w:jc w:val="both"/>
      </w:pPr>
      <w:r>
        <w:rPr>
          <w:rFonts w:ascii="Times New Roman" w:cs="Times New Roman" w:eastAsia="Times New Roman" w:hAnsi="Times New Roman"/>
          <w:sz w:val="20"/>
          <w:szCs w:val="20"/>
        </w:rPr>
        <w:t xml:space="preserve">La contribución epistemológica de la propuesta consiste en formular el estudio de modo que la confirmación de la distribución diferencial anticipada (concordancia sustancial sobre N1-N3, moderada sobre N4) opere como soporte empírico indirecto, por contraste, al principio de articulación constitutiva entre constructo y arquitectura postulado por el ecosistema teórico de origen. La operacionalización de las hipótesis con anterioridad a la ejecución del estudio empírico, y la explicitación previa de las implicaciones de cada combinación de resultados, son decisiones metodológicas que el equipo investigador asume para proteger la interpretación contra el sesgo de confirmación.</w:t>
      </w:r>
    </w:p>
    <w:p>
      <w:pPr>
        <w:spacing w:after="100" w:before="0" w:line="260"/>
        <w:ind w:firstLine="360"/>
        <w:jc w:val="both"/>
      </w:pPr>
      <w:r>
        <w:rPr>
          <w:rFonts w:ascii="Times New Roman" w:cs="Times New Roman" w:eastAsia="Times New Roman" w:hAnsi="Times New Roman"/>
          <w:sz w:val="20"/>
          <w:szCs w:val="20"/>
        </w:rPr>
        <w:t xml:space="preserve">El plan de ejecución previsto para 2026 articula cuatro hitos. Primer trimestre: completar la fase 4 (codificación humana experta sobre los 30 repositorios), con sesiones de calibración previas y cálculo de la línea de base inter-humana. Segundo trimestre: ejecutar la fase 5 (corrida del instrumento sobre los 30 repositorios) y la fase 6 (análisis estadístico con cálculo de kappa por nivel y agregado, matrices de confusión, análisis cualitativo de casos discordantes). Tercer trimestre: redacción del paper de resultados con interpretación de la combinación efectivamente observada conforme a la Tabla 2 del presente paper, articulación con la línea de base inter-humana, y formulación de prácticas de uso responsable definitivas. Cuarto trimestre: presentación del paper de resultados y discusión con la comunidad académica, con preferencia por publicación en venues que faciliten replicación posterior por terceros.</w:t>
      </w:r>
    </w:p>
    <w:p>
      <w:pPr>
        <w:spacing w:after="100" w:before="0" w:line="260"/>
        <w:ind w:firstLine="360"/>
        <w:jc w:val="both"/>
      </w:pPr>
      <w:r>
        <w:rPr>
          <w:rFonts w:ascii="Times New Roman" w:cs="Times New Roman" w:eastAsia="Times New Roman" w:hAnsi="Times New Roman"/>
          <w:sz w:val="20"/>
          <w:szCs w:val="20"/>
        </w:rPr>
        <w:t xml:space="preserve">Cuatro direcciones de trabajo futuro se identifican para el período posterior a la validación. Primero, la migración del instrumento desde repositorios hacia eventos del CTR cuando este último esté disponible en contextos donde el sistema AI-Native efectivamente se despliegue. Segundo, la articulación operativa con instrumentos paralelos del mismo ecosistema institucional (detección forense de generación automática, bitácora cognitiva estructurada del estudiante) que permitirían compensar parcialmente la limitación estructural sobre N4. Tercero, estudios longitudinales con corpus fijo de referencia y reporte sistemático de evolución del kappa por nivel en cadencia semestral. Cuarto, la extensión a otros lenguajes (Java, JavaScript, Go) y a otros contextos disciplinares (programación funcional, ciencia de datos, web full-stack) con validación específica sobre cada nuevo dominio.</w:t>
      </w:r>
    </w:p>
    <w:p>
      <w:pPr>
        <w:spacing w:after="100" w:before="0" w:line="260"/>
        <w:ind w:firstLine="360"/>
        <w:jc w:val="both"/>
      </w:pPr>
      <w:r>
        <w:rPr>
          <w:rFonts w:ascii="Times New Roman" w:cs="Times New Roman" w:eastAsia="Times New Roman" w:hAnsi="Times New Roman"/>
          <w:sz w:val="20"/>
          <w:szCs w:val="20"/>
        </w:rPr>
        <w:t xml:space="preserve">La presentación de la propuesta a la comunidad académica en CACIC 2026, con anterioridad a la ejecución de las fases empíricas, busca validación metodológica del diseño antes de comprometer recursos en la ejecución. Los autores agradecerán observaciones, críticas y sugerencias de mejora que puedan incorporarse al protocolo experimental antes de su ejecución durante el segundo trimestre de 2026.</w:t>
      </w:r>
    </w:p>
    <w:p>
      <w:pPr>
        <w:spacing w:after="120" w:before="240"/>
        <w:jc w:val="left"/>
      </w:pPr>
      <w:r>
        <w:rPr>
          <w:rFonts w:ascii="Times New Roman" w:cs="Times New Roman" w:eastAsia="Times New Roman" w:hAnsi="Times New Roman"/>
          <w:b/>
          <w:bCs/>
          <w:sz w:val="24"/>
          <w:szCs w:val="24"/>
        </w:rPr>
        <w:t xml:space="preserve">Declaración sobre el uso de IA durante la elaboración</w:t>
      </w:r>
    </w:p>
    <w:p>
      <w:pPr>
        <w:spacing w:after="100" w:before="0" w:line="260"/>
        <w:ind w:firstLine="360"/>
        <w:jc w:val="both"/>
      </w:pPr>
      <w:r>
        <w:rPr>
          <w:rFonts w:ascii="Times New Roman" w:cs="Times New Roman" w:eastAsia="Times New Roman" w:hAnsi="Times New Roman"/>
          <w:sz w:val="20"/>
          <w:szCs w:val="20"/>
        </w:rPr>
        <w:t xml:space="preserve">Este paper se elaboró con asistencia de modelos de lenguaje (Claude Opus 4.7 de Anthropic) para tareas de redacción asistida, condensación del manuscrito de origen del trabajo y cotejo bibliográfico preliminar. La fase de cierre incluyó auditoría sistemática de la bibliografía mediante búsqueda independiente de cada referencia en bases académicas externas (Google Scholar, ACM Digital Library, ACL Anthology, arXiv, Semantic Scholar). La auditoría identificó tres clases de hallazgos sobre el borrador inicial generado con asistencia: referencias canónicas verificadas, referencias reales con errores de detalle que fueron corregidas, y referencias sin existencia verificable —fenómeno conocido en la literatura técnica como alucinación bibliográfica— que fueron eliminadas y reemplazadas por referencias reales pertinentes al mismo contenido teórico. La bibliografía finalmente incluida en el presente paper comprende exclusivamente referencias verificadas. La autoría intelectual y la responsabilidad científica del trabajo corresponden íntegramente a los autores. Esta declaración se incluye en coherencia con la práctica de aplicación reflexiva del modelo al propio proceso de elaboración, documentada por el primer autor en la Declaración preliminar de la tesis de origen (Cortez, 2026), y se replica aquí como pieza explícita del proceso.</w:t>
      </w:r>
    </w:p>
    <w:p>
      <w:pPr>
        <w:spacing w:after="120" w:before="240"/>
        <w:jc w:val="left"/>
      </w:pPr>
      <w:r>
        <w:rPr>
          <w:rFonts w:ascii="Times New Roman" w:cs="Times New Roman" w:eastAsia="Times New Roman" w:hAnsi="Times New Roman"/>
          <w:b/>
          <w:bCs/>
          <w:sz w:val="24"/>
          <w:szCs w:val="24"/>
        </w:rPr>
        <w:t xml:space="preserve">Agradecimientos</w:t>
      </w:r>
    </w:p>
    <w:p>
      <w:pPr>
        <w:spacing w:after="100" w:before="0" w:line="260"/>
        <w:ind w:firstLine="360"/>
        <w:jc w:val="both"/>
      </w:pPr>
      <w:r>
        <w:rPr>
          <w:rFonts w:ascii="Times New Roman" w:cs="Times New Roman" w:eastAsia="Times New Roman" w:hAnsi="Times New Roman"/>
          <w:sz w:val="20"/>
          <w:szCs w:val="20"/>
        </w:rPr>
        <w:t xml:space="preserve">Se agradece a los estudiantes de la cohorte 2025 de la cátedra de Programación de la Tecnicatura Universitaria en Programación a Distancia (TUPAD-UTN) que dieron consentimiento informado para que sus repositorios formaran parte del corpus, y a los docentes externos que cumplirán el rol de segundo codificador humano durante la fase de validación. La línea de investigación se inscribe en el marco del proyecto institucional sobre el Modelo Curricular AI-Native con Trazabilidad N4 desarrollado por la UTN-FRM en cooperación con la Universidad Champagnat (Cortez et al., 2026) y en el marco de la tesis doctoral en preparación del primer autor en la Universidad Nacional de San Luis (Cortez, 2026).</w:t>
      </w:r>
    </w:p>
    <w:p>
      <w:pPr>
        <w:spacing w:after="120" w:before="240"/>
        <w:jc w:val="left"/>
      </w:pPr>
      <w:r>
        <w:rPr>
          <w:rFonts w:ascii="Times New Roman" w:cs="Times New Roman" w:eastAsia="Times New Roman" w:hAnsi="Times New Roman"/>
          <w:b/>
          <w:bCs/>
          <w:sz w:val="24"/>
          <w:szCs w:val="24"/>
        </w:rPr>
        <w:t xml:space="preserve">Referencias</w:t>
      </w:r>
    </w:p>
    <w:p>
      <w:pPr>
        <w:spacing w:after="60" w:before="0" w:line="240"/>
        <w:ind w:left="360" w:hanging="360"/>
        <w:jc w:val="both"/>
      </w:pPr>
      <w:r>
        <w:rPr>
          <w:rFonts w:ascii="Times New Roman" w:cs="Times New Roman" w:eastAsia="Times New Roman" w:hAnsi="Times New Roman"/>
          <w:sz w:val="18"/>
          <w:szCs w:val="18"/>
        </w:rPr>
        <w:t xml:space="preserve">1. Anthropic: Claude Sonnet 4.5: información del modelo y guía de uso. Documentación pública del modelo (familia Claude 4.5), Anthropic (2026). docs.claude.com</w:t>
      </w:r>
    </w:p>
    <w:p>
      <w:pPr>
        <w:spacing w:after="60" w:before="0" w:line="240"/>
        <w:ind w:left="360" w:hanging="360"/>
        <w:jc w:val="both"/>
      </w:pPr>
      <w:r>
        <w:rPr>
          <w:rFonts w:ascii="Times New Roman" w:cs="Times New Roman" w:eastAsia="Times New Roman" w:hAnsi="Times New Roman"/>
          <w:sz w:val="18"/>
          <w:szCs w:val="18"/>
        </w:rPr>
        <w:t xml:space="preserve">2. Borse, N. S., Subramaniam, R. C., Rebello, N. S.: Investigation of the inter-rater reliability between large language models and human raters in qualitative analysis. arXiv preprint arXiv:2508.14764 (2025)</w:t>
      </w:r>
    </w:p>
    <w:p>
      <w:pPr>
        <w:spacing w:after="60" w:before="0" w:line="240"/>
        <w:ind w:left="360" w:hanging="360"/>
        <w:jc w:val="both"/>
      </w:pPr>
      <w:r>
        <w:rPr>
          <w:rFonts w:ascii="Times New Roman" w:cs="Times New Roman" w:eastAsia="Times New Roman" w:hAnsi="Times New Roman"/>
          <w:sz w:val="18"/>
          <w:szCs w:val="18"/>
        </w:rPr>
        <w:t xml:space="preserve">3. Cohen, J.: A coefficient of agreement for nominal scales. Educational and Psychological Measurement 20(1), 37–46 (1960)</w:t>
      </w:r>
    </w:p>
    <w:p>
      <w:pPr>
        <w:spacing w:after="60" w:before="0" w:line="240"/>
        <w:ind w:left="360" w:hanging="360"/>
        <w:jc w:val="both"/>
      </w:pPr>
      <w:r>
        <w:rPr>
          <w:rFonts w:ascii="Times New Roman" w:cs="Times New Roman" w:eastAsia="Times New Roman" w:hAnsi="Times New Roman"/>
          <w:sz w:val="18"/>
          <w:szCs w:val="18"/>
        </w:rPr>
        <w:t xml:space="preserve">4. Cortez, A.: Modelo AI-Native con trazabilidad cognitiva N4 para la formación en programación universitaria. Tesis doctoral en preparación, Universidad Nacional de San Luis (2026)</w:t>
      </w:r>
    </w:p>
    <w:p>
      <w:pPr>
        <w:spacing w:after="60" w:before="0" w:line="240"/>
        <w:ind w:left="360" w:hanging="360"/>
        <w:jc w:val="both"/>
      </w:pPr>
      <w:r>
        <w:rPr>
          <w:rFonts w:ascii="Times New Roman" w:cs="Times New Roman" w:eastAsia="Times New Roman" w:hAnsi="Times New Roman"/>
          <w:sz w:val="18"/>
          <w:szCs w:val="18"/>
        </w:rPr>
        <w:t xml:space="preserve">5. Cortez, A., Martinez, C., Brachetta, M., Sarmiento, J., Robledo, J., Naveda, C., Roberti, B., Carbonari, D.: Modelo curricular AI-Native con Trazabilidad N4 para la formación universitaria en programación. En: Actas del XXVIII Workshop de Investigadores en Ciencias de la Computación (WICC 2026)</w:t>
      </w:r>
    </w:p>
    <w:p>
      <w:pPr>
        <w:spacing w:after="60" w:before="0" w:line="240"/>
        <w:ind w:left="360" w:hanging="360"/>
        <w:jc w:val="both"/>
      </w:pPr>
      <w:r>
        <w:rPr>
          <w:rFonts w:ascii="Times New Roman" w:cs="Times New Roman" w:eastAsia="Times New Roman" w:hAnsi="Times New Roman"/>
          <w:sz w:val="18"/>
          <w:szCs w:val="18"/>
        </w:rPr>
        <w:t xml:space="preserve">6. Finnie-Ansley, J., Denny, P., Becker, B. A., Luxton-Reilly, A., Prather, J.: The robots are coming: exploring the implications of OpenAI Codex on introductory programming. In: Proceedings of the 24th Australasian Computing Education Conference (ACE '22), pp. 10–19 (2022)</w:t>
      </w:r>
    </w:p>
    <w:p>
      <w:pPr>
        <w:spacing w:after="60" w:before="0" w:line="240"/>
        <w:ind w:left="360" w:hanging="360"/>
        <w:jc w:val="both"/>
      </w:pPr>
      <w:r>
        <w:rPr>
          <w:rFonts w:ascii="Times New Roman" w:cs="Times New Roman" w:eastAsia="Times New Roman" w:hAnsi="Times New Roman"/>
          <w:sz w:val="18"/>
          <w:szCs w:val="18"/>
        </w:rPr>
        <w:t xml:space="preserve">7. Idialu, O. J., Mathews, N. S., Maipradit, R., Atlee, J. M., Nagappan, M.: Whodunit: classifying code as human authored or GPT-4 generated — a case study on CodeChef problems. In: Proceedings of the 21st International Conference on Mining Software Repositories (MSR '24), pp. 394–406 (2024)</w:t>
      </w:r>
    </w:p>
    <w:p>
      <w:pPr>
        <w:spacing w:after="60" w:before="0" w:line="240"/>
        <w:ind w:left="360" w:hanging="360"/>
        <w:jc w:val="both"/>
      </w:pPr>
      <w:r>
        <w:rPr>
          <w:rFonts w:ascii="Times New Roman" w:cs="Times New Roman" w:eastAsia="Times New Roman" w:hAnsi="Times New Roman"/>
          <w:sz w:val="18"/>
          <w:szCs w:val="18"/>
        </w:rPr>
        <w:t xml:space="preserve">8. Landis, J. R., Koch, G. G.: The measurement of observer agreement for categorical data. Biometrics 33(1), 159–174 (1977)</w:t>
      </w:r>
    </w:p>
    <w:p>
      <w:pPr>
        <w:spacing w:after="60" w:before="0" w:line="240"/>
        <w:ind w:left="360" w:hanging="360"/>
        <w:jc w:val="both"/>
      </w:pPr>
      <w:r>
        <w:rPr>
          <w:rFonts w:ascii="Times New Roman" w:cs="Times New Roman" w:eastAsia="Times New Roman" w:hAnsi="Times New Roman"/>
          <w:sz w:val="18"/>
          <w:szCs w:val="18"/>
        </w:rPr>
        <w:t xml:space="preserve">9. Lau, S., Guo, P. J.: From “Ban it till we understand it” to “Resistance is futile”: how university programming instructors plan to adapt as more students use AI code generation and explanation tools such as ChatGPT and GitHub Copilot. In: Proceedings of the 2023 ACM Conference on International Computing Education Research (ICER '23), Volume 1, pp. 106–121 (2023)</w:t>
      </w:r>
    </w:p>
    <w:p>
      <w:pPr>
        <w:spacing w:after="60" w:before="0" w:line="240"/>
        <w:ind w:left="360" w:hanging="360"/>
        <w:jc w:val="both"/>
      </w:pPr>
      <w:r>
        <w:rPr>
          <w:rFonts w:ascii="Times New Roman" w:cs="Times New Roman" w:eastAsia="Times New Roman" w:hAnsi="Times New Roman"/>
          <w:sz w:val="18"/>
          <w:szCs w:val="18"/>
        </w:rPr>
        <w:t xml:space="preserve">10. Mittal, M., Sureka, A.: Process mining software repositories from student projects in an undergraduate software engineering course. In: Companion Proceedings of the 36th International Conference on Software Engineering (ICSE Companion 2014), pp. 344–353 (2014)</w:t>
      </w:r>
    </w:p>
    <w:p>
      <w:pPr>
        <w:spacing w:after="60" w:before="0" w:line="240"/>
        <w:ind w:left="360" w:hanging="360"/>
        <w:jc w:val="both"/>
      </w:pPr>
      <w:r>
        <w:rPr>
          <w:rFonts w:ascii="Times New Roman" w:cs="Times New Roman" w:eastAsia="Times New Roman" w:hAnsi="Times New Roman"/>
          <w:sz w:val="18"/>
          <w:szCs w:val="18"/>
        </w:rPr>
        <w:t xml:space="preserve">11. Naismith, B., Mulcaire, P., Burstein, J.: Automated evaluation of written discourse coherence using GPT-4. In: Proceedings of the 18th Workshop on Innovative Use of NLP for Building Educational Applications (BEA 2023), pp. 394–403 (2023)</w:t>
      </w:r>
    </w:p>
    <w:p>
      <w:pPr>
        <w:spacing w:after="60" w:before="0" w:line="240"/>
        <w:ind w:left="360" w:hanging="360"/>
        <w:jc w:val="both"/>
      </w:pPr>
      <w:r>
        <w:rPr>
          <w:rFonts w:ascii="Times New Roman" w:cs="Times New Roman" w:eastAsia="Times New Roman" w:hAnsi="Times New Roman"/>
          <w:sz w:val="18"/>
          <w:szCs w:val="18"/>
        </w:rPr>
        <w:t xml:space="preserve">12. Rahman, M., Khatoonabadi, S., Abdellatif, A., Shihab, E.: Automatic detection of LLM-generated code: a case study of Claude 3 Haiku. arXiv preprint arXiv:2409.01382 (2024)</w:t>
      </w:r>
    </w:p>
    <w:p>
      <w:pPr>
        <w:spacing w:after="60" w:before="0" w:line="240"/>
        <w:ind w:left="360" w:hanging="360"/>
        <w:jc w:val="both"/>
      </w:pPr>
      <w:r>
        <w:rPr>
          <w:rFonts w:ascii="Times New Roman" w:cs="Times New Roman" w:eastAsia="Times New Roman" w:hAnsi="Times New Roman"/>
          <w:sz w:val="18"/>
          <w:szCs w:val="18"/>
        </w:rPr>
        <w:t xml:space="preserve">13. Romero, C., Ventura, S.: Educational data mining and learning analytics: an updated survey. WIREs Data Mining and Knowledge Discovery 10(3), e1355 (2020). https://doi.org/10.1002/widm.1355</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ex-post de evidencias del Modelo N4</dc:title>
  <dc:creator>Quiroga &amp; Cortez - CACIC 2026</dc:creator>
  <dc:description>Paper para CACIC 2026 - Workshop WTIAE</dc:description>
  <cp:lastModifiedBy>Un-named</cp:lastModifiedBy>
  <cp:revision>1</cp:revision>
  <dcterms:created xsi:type="dcterms:W3CDTF">2026-05-09T01:38:11.193Z</dcterms:created>
  <dcterms:modified xsi:type="dcterms:W3CDTF">2026-05-09T01:38:11.211Z</dcterms:modified>
</cp:coreProperties>
</file>

<file path=docProps/custom.xml><?xml version="1.0" encoding="utf-8"?>
<Properties xmlns="http://schemas.openxmlformats.org/officeDocument/2006/custom-properties" xmlns:vt="http://schemas.openxmlformats.org/officeDocument/2006/docPropsVTypes"/>
</file>