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F6FB2"/>
          <w:sz w:val="22"/>
          <w:szCs w:val="22"/>
        </w:rPr>
        <w:t xml:space="preserve">CAPÍTULO 2 — GUÍA DE LECTURA</w:t>
      </w:r>
    </w:p>
    <w:p>
      <w:pPr>
        <w:spacing w:after="60"/>
      </w:pPr>
      <w:r>
        <w:rPr>
          <w:b/>
          <w:bCs/>
          <w:color w:val="1F3B57"/>
          <w:sz w:val="56"/>
          <w:szCs w:val="56"/>
        </w:rPr>
        <w:t xml:space="preserve">Contratos</w:t>
      </w:r>
    </w:p>
    <w:p>
      <w:pPr>
        <w:spacing w:after="400"/>
      </w:pPr>
      <w:r>
        <w:rPr>
          <w:color w:val="5A6472"/>
          <w:sz w:val="30"/>
          <w:szCs w:val="30"/>
        </w:rPr>
        <w:t xml:space="preserve">Schemas, validación y CRUD, explicados en criollo</w:t>
      </w:r>
    </w:p>
    <w:p>
      <w:pPr>
        <w:pBdr>
          <w:bottom w:val="single" w:color="1F6FB2" w:sz="8" w:space="10"/>
        </w:pBdr>
        <w:spacing w:after="260"/>
      </w:pPr>
      <w:r>
        <w:rPr>
          <w:i/>
          <w:iCs/>
          <w:color w:val="5A6472"/>
          <w:sz w:val="22"/>
          <w:szCs w:val="22"/>
        </w:rPr>
        <w:t xml:space="preserve">Traducción didáctica del texto académico, sección por sección. Mismos conceptos, otro idioma.</w:t>
      </w:r>
    </w:p>
    <w:p>
      <w:pPr>
        <w:pStyle w:val="Heading1"/>
        <w:keepNext/>
        <w:spacing w:after="180" w:before="360"/>
      </w:pPr>
      <w:r>
        <w:t xml:space="preserve">Antes de empezar: cómo usar esta guía</w:t>
      </w:r>
    </w:p>
    <w:p>
      <w:pPr>
        <w:spacing w:after="140" w:line="300"/>
      </w:pPr>
      <w:r>
        <w:t xml:space="preserve">Este documento no reemplaza al capítulo original: lo traduce. Cada sección tiene </w:t>
      </w:r>
      <w:r>
        <w:rPr>
          <w:b/>
          <w:bCs/>
        </w:rPr>
        <w:t xml:space="preserve">Qué dice</w:t>
      </w:r>
      <w:r>
        <w:t xml:space="preserve"> (la idea comprimida), </w:t>
      </w:r>
      <w:r>
        <w:rPr>
          <w:b/>
          <w:bCs/>
        </w:rPr>
        <w:t xml:space="preserve">En criollo</w:t>
      </w:r>
      <w:r>
        <w:t xml:space="preserve"> (la explicación larga con la analogía) y </w:t>
      </w:r>
      <w:r>
        <w:rPr>
          <w:b/>
          <w:bCs/>
        </w:rPr>
        <w:t xml:space="preserve">Para el pizarrón</w:t>
      </w:r>
      <w:r>
        <w:t xml:space="preserve"> (la frase que hay que llevarse). </w:t>
      </w:r>
      <w:r>
        <w:rPr>
          <w:b/>
          <w:bCs/>
        </w:rPr>
        <w:t xml:space="preserve">No se pierde ni un concepto</w:t>
      </w:r>
      <w:r>
        <w:t xml:space="preserve">: lo que cambia es el idioma.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LA IDEA MADRE DE TODO EL CAPÍTULO</w:t>
            </w:r>
          </w:p>
          <w:p>
            <w:pPr>
              <w:spacing w:after="110" w:line="290"/>
            </w:pPr>
            <w:r>
              <w:t xml:space="preserve">Si te quedás con una sola palabra de las cuarenta páginas, que sea esta: </w:t>
            </w:r>
            <w:r>
              <w:rPr>
                <w:b/>
                <w:bCs/>
              </w:rPr>
              <w:t xml:space="preserve">contrato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Un contrato es un acuerdo entre dos partes sobre </w:t>
            </w:r>
            <w:r>
              <w:rPr>
                <w:b/>
                <w:bCs/>
              </w:rPr>
              <w:t xml:space="preserve">qué se manda, qué se devuelve y qué pasa cuando algo no cumple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Y cuando las dos partes son </w:t>
            </w:r>
            <w:r>
              <w:rPr>
                <w:b/>
                <w:bCs/>
              </w:rPr>
              <w:t xml:space="preserve">dos equipos</w:t>
            </w:r>
            <w:r>
              <w:t xml:space="preserve"> —como en esta cursada, donde una mitad escribe el servidor y la otra el cliente— ese acuerdo deja de ser un detalle técnico y pasa a ser </w:t>
            </w:r>
            <w:r>
              <w:rPr>
                <w:b/>
                <w:bCs/>
              </w:rPr>
              <w:t xml:space="preserve">el principal punto de fricción del proyecto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Todo lo que sigue —los schemas, el 422, los tres modelos, el dinero como cadena— es una respuesta a la misma pregunta: </w:t>
            </w:r>
            <w:r>
              <w:rPr>
                <w:b/>
                <w:bCs/>
              </w:rPr>
              <w:t xml:space="preserve">cómo hacer que ese acuerdo no se rompa sin que nadie se entere.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2.1 — De qué se trata esta clase</w:t>
      </w:r>
    </w:p>
    <w:p>
      <w:pPr>
        <w:pStyle w:val="Heading3"/>
        <w:keepNext/>
        <w:spacing w:after="100" w:before="220"/>
      </w:pPr>
      <w:r>
        <w:t xml:space="preserve">Qué dice</w:t>
      </w:r>
    </w:p>
    <w:p>
      <w:pPr>
        <w:spacing w:after="140" w:line="300"/>
      </w:pPr>
      <w:r>
        <w:t xml:space="preserve">El capítulo anterior terminó con una afirmación que conviene tomar en serio: </w:t>
      </w:r>
      <w:r>
        <w:rPr>
          <w:b/>
          <w:bCs/>
        </w:rPr>
        <w:t xml:space="preserve">la especificación de la API se deriva del código y por lo tanto no puede desactualizarse</w:t>
      </w:r>
      <w:r>
        <w:t xml:space="preserve">. Este capítulo es el que convierte esa afirmación en algo con consecuencias, porque estudia </w:t>
      </w:r>
      <w:r>
        <w:rPr>
          <w:b/>
          <w:bCs/>
        </w:rPr>
        <w:t xml:space="preserve">qué se declara</w:t>
      </w:r>
      <w:r>
        <w:t xml:space="preserve"> para que esa especificación diga lo correcto.</w:t>
      </w:r>
    </w:p>
    <w:p>
      <w:pPr>
        <w:pStyle w:val="Heading3"/>
        <w:keepNext/>
        <w:spacing w:after="100" w:before="220"/>
      </w:pPr>
      <w:r>
        <w:t xml:space="preserve">En criollo: por qué esta clase es la segunda y no la sexta</w:t>
      </w:r>
    </w:p>
    <w:p>
      <w:pPr>
        <w:spacing w:after="140" w:line="300"/>
      </w:pPr>
      <w:r>
        <w:t xml:space="preserve">Hay una razón concreta, y es de cronograma. </w:t>
      </w:r>
      <w:r>
        <w:rPr>
          <w:b/>
          <w:bCs/>
        </w:rPr>
        <w:t xml:space="preserve">Al terminar esta clase el backend tiene un contrato publicado y navegable, aunque todavía no haya base de datos.</w:t>
      </w:r>
    </w:p>
    <w:p>
      <w:pPr>
        <w:spacing w:after="140" w:line="300"/>
      </w:pPr>
      <w:r>
        <w:t xml:space="preserve">La otra mitad de la cursada está esa semana con hojas de estilo y no lo necesita todavía. Cuando lo necesite —cuatro semanas después, al tipar el contrato en TypeScript— </w:t>
      </w:r>
      <w:r>
        <w:rPr>
          <w:b/>
          <w:bCs/>
        </w:rPr>
        <w:t xml:space="preserve">va a existir hace un mes y va a estar corriendo</w:t>
      </w:r>
      <w:r>
        <w:t xml:space="preserve">. Y tipar contra algo que responde es una situación </w:t>
      </w:r>
      <w:r>
        <w:rPr>
          <w:b/>
          <w:bCs/>
        </w:rPr>
        <w:t xml:space="preserve">muy distinta</w:t>
      </w:r>
      <w:r>
        <w:t xml:space="preserve"> de tipar contra una tabla de un documento: podés probar, equivocarte y ver el error hoy, no en la semana de integración.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Y una decisión que sorprende a todo el mundo la primera vez</w:t>
            </w:r>
          </w:p>
          <w:p>
            <w:pPr>
              <w:spacing w:after="110" w:line="290"/>
            </w:pPr>
            <w:r>
              <w:t xml:space="preserve">El capítulo la enuncia acá aunque todavía no haya persistencia:</w:t>
            </w:r>
          </w:p>
          <w:p>
            <w:pPr>
              <w:spacing w:after="110" w:line="290"/>
            </w:pPr>
            <w:r>
              <w:t xml:space="preserve">Todos los importes son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DECIMAL(10,2)</w:t>
            </w:r>
            <w:r>
              <w:t xml:space="preserve"> y viajan en JSON </w:t>
            </w:r>
            <w:r>
              <w:rPr>
                <w:b/>
                <w:bCs/>
              </w:rPr>
              <w:t xml:space="preserve">como cadena decimal</w:t>
            </w:r>
            <w:r>
              <w:t xml:space="preserve"> —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"1234.50"</w:t>
            </w:r>
            <w:r>
              <w:t xml:space="preserve">—. El tipo TypeScript espejo es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string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Esa es la mitad de arriba de una regla que la otra mitad de la cursada estudia como </w:t>
            </w:r>
            <w:r>
              <w:rPr>
                <w:b/>
                <w:bCs/>
              </w:rPr>
              <w:t xml:space="preserve">RN-F08</w:t>
            </w:r>
            <w:r>
              <w:t xml:space="preserve">. Acá se ve </w:t>
            </w:r>
            <w:r>
              <w:rPr>
                <w:b/>
                <w:bCs/>
              </w:rPr>
              <w:t xml:space="preserve">por qué el servidor la impone</w:t>
            </w:r>
            <w:r>
              <w:t xml:space="preserve">, y la sección 2.7 lo desarrolla entero.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t xml:space="preserve">Al terminar la clase tenés que poder hacer tres cosas: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Escribir los schemas</w:t>
            </w:r>
            <w:r>
              <w:t xml:space="preserve"> de cualquier módulo de la sección 7 del TPI.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Implementar su CRUD</w:t>
            </w:r>
            <w:r>
              <w:t xml:space="preserve"> con los verbos y los códigos de estado correctos.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Explicar por qué hacen falta tres modelos por entidad y no uno.</w:t>
            </w:r>
          </w:p>
          <w:p>
            <w:pPr>
              <w:spacing w:after="110" w:line="290"/>
            </w:pPr>
            <w:r>
              <w:t xml:space="preserve">Si podés las tres, esta clase la aprobaste.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2.2 — Por qué existe el contrato: tres etapas y tres renuncias</w:t>
      </w:r>
    </w:p>
    <w:p>
      <w:pPr>
        <w:pStyle w:val="Heading3"/>
        <w:keepNext/>
        <w:spacing w:after="100" w:before="220"/>
      </w:pPr>
      <w:r>
        <w:t xml:space="preserve">Qué dice</w:t>
      </w:r>
    </w:p>
    <w:p>
      <w:pPr>
        <w:spacing w:after="140" w:line="300"/>
      </w:pPr>
      <w:r>
        <w:t xml:space="preserve">Cuando dos sistemas se hablan, alguien tiene que decidir </w:t>
      </w:r>
      <w:r>
        <w:rPr>
          <w:b/>
          <w:bCs/>
        </w:rPr>
        <w:t xml:space="preserve">qué significa cada campo</w:t>
      </w:r>
      <w:r>
        <w:t xml:space="preserve">. La historia de cómo se resolvió eso tiene tres etapas, y de cada una queda algo.</w:t>
      </w:r>
    </w:p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En criollo</w:t>
      </w:r>
    </w:p>
    <w:p>
      <w:pPr>
        <w:spacing w:after="140" w:line="300"/>
      </w:pPr>
      <w:r>
        <w:rPr>
          <w:b/>
          <w:bCs/>
        </w:rPr>
        <w:t xml:space="preserve">Primera etapa: el contrato rígido y generado.</w:t>
      </w:r>
      <w:r>
        <w:t xml:space="preserve"> A principios de los 2000, el enfoque dominante fue SOAP, con contratos escritos en WSDL. La propuesta era fuerte: el contrato es un documento formal y a partir de él </w:t>
      </w:r>
      <w:r>
        <w:rPr>
          <w:b/>
          <w:bCs/>
        </w:rPr>
        <w:t xml:space="preserve">se generan automáticamente el cliente y el servidor</w:t>
      </w:r>
      <w:r>
        <w:t xml:space="preserve">. Nada podía desajustarse, porque las dos partes salían del mismo archivo.</w:t>
      </w:r>
    </w:p>
    <w:p>
      <w:pPr>
        <w:spacing w:after="140" w:line="300"/>
      </w:pPr>
      <w:r>
        <w:t xml:space="preserve">Funcionó y se abandonó, y el motivo es instructivo. El contrato era </w:t>
      </w:r>
      <w:r>
        <w:rPr>
          <w:b/>
          <w:bCs/>
        </w:rPr>
        <w:t xml:space="preserve">enorme y frágil</w:t>
      </w:r>
      <w:r>
        <w:t xml:space="preserve">: cambiar un campo obligaba a regenerar y redesplegar todo, los documentos eran ilegibles para un humano, y el acoplamiento era tan fuerte que evolucionar por separado se volvía imposible. </w:t>
      </w:r>
      <w:r>
        <w:rPr>
          <w:b/>
          <w:bCs/>
        </w:rPr>
        <w:t xml:space="preserve">Se había resuelto el desajuste al precio de que nada pudiera moverse.</w:t>
      </w:r>
    </w:p>
    <w:p>
      <w:pPr>
        <w:spacing w:after="140" w:line="300"/>
      </w:pPr>
      <w:r>
        <w:rPr>
          <w:b/>
          <w:bCs/>
        </w:rPr>
        <w:t xml:space="preserve">Segunda etapa: sin contrato formal.</w:t>
      </w:r>
      <w:r>
        <w:t xml:space="preserve"> El estilo REST, que se impuso después, no traía </w:t>
      </w:r>
      <w:r>
        <w:rPr>
          <w:b/>
          <w:bCs/>
        </w:rPr>
        <w:t xml:space="preserve">ningún</w:t>
      </w:r>
      <w:r>
        <w:t xml:space="preserve"> mecanismo de contrato. La API era un conjunto de rutas que devolvían JSON, y la documentación </w:t>
      </w:r>
      <w:r>
        <w:rPr>
          <w:b/>
          <w:bCs/>
        </w:rPr>
        <w:t xml:space="preserve">se escribía a mano en un archivo aparte</w:t>
      </w:r>
      <w:r>
        <w:t xml:space="preserve">.</w:t>
      </w:r>
    </w:p>
    <w:p>
      <w:pPr>
        <w:spacing w:after="140" w:line="300"/>
      </w:pPr>
      <w:r>
        <w:t xml:space="preserve">Eso resolvió la rigidez y creó el problema opuesto, que es el que este módulo combate: un documento escrito a mano </w:t>
      </w:r>
      <w:r>
        <w:rPr>
          <w:b/>
          <w:bCs/>
        </w:rPr>
        <w:t xml:space="preserve">se desactualiza el día que alguien cambia un campo y no lo actualiza</w:t>
      </w:r>
      <w:r>
        <w:t xml:space="preserve">. Y a partir de ese momento </w:t>
      </w:r>
      <w:r>
        <w:rPr>
          <w:b/>
          <w:bCs/>
        </w:rPr>
        <w:t xml:space="preserve">no avisa que miente</w:t>
      </w:r>
      <w:r>
        <w:t xml:space="preserve">: sigue ahí, prolijo, describiendo algo que ya no existe. El cliente implementa contra la mentira y el error aparece en integración.</w:t>
      </w:r>
    </w:p>
    <w:p>
      <w:pPr>
        <w:spacing w:after="140" w:line="300"/>
      </w:pPr>
      <w:r>
        <w:rPr>
          <w:b/>
          <w:bCs/>
        </w:rPr>
        <w:t xml:space="preserve">Tercera etapa: el contrato derivado del código.</w:t>
      </w:r>
      <w:r>
        <w:t xml:space="preserve"> En 2011, Tony Tam publicó </w:t>
      </w:r>
      <w:r>
        <w:rPr>
          <w:b/>
          <w:bCs/>
        </w:rPr>
        <w:t xml:space="preserve">Swagger</w:t>
      </w:r>
      <w:r>
        <w:t xml:space="preserve">, con una idea intermedia: que la especificación se genere </w:t>
      </w:r>
      <w:r>
        <w:rPr>
          <w:b/>
          <w:bCs/>
        </w:rPr>
        <w:t xml:space="preserve">a partir del código</w:t>
      </w:r>
      <w:r>
        <w:t xml:space="preserve">, en un formato legible tanto por humanos como por herramientas. En 2015 el proyecto se donó a la Linux Foundation y pasó a llamarse </w:t>
      </w:r>
      <w:r>
        <w:rPr>
          <w:b/>
          <w:bCs/>
        </w:rPr>
        <w:t xml:space="preserve">OpenAPI</w:t>
      </w:r>
      <w:r>
        <w:t xml:space="preserve">; su versión 3.1, de 2021, se alineó con JSON Schema.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2.1 </w:t>
      </w:r>
      <w:r>
        <w:rPr>
          <w:i/>
          <w:iCs/>
          <w:color w:val="5A6472"/>
          <w:sz w:val="18"/>
          <w:szCs w:val="18"/>
        </w:rPr>
        <w:t xml:space="preserve">— Del contrato generado al contrato derivado: qué resolvió y qué resignó cada etapa.</w:t>
      </w:r>
    </w:p>
    <w:p>
      <w:pPr>
        <w:pStyle w:val="Heading3"/>
        <w:keepNext/>
        <w:spacing w:after="100" w:before="220"/>
      </w:pPr>
      <w:r>
        <w:t xml:space="preserve">Falta la otra mitad de la historia: cómo se declaran esas formas</w:t>
      </w:r>
    </w:p>
    <w:p>
      <w:pPr>
        <w:spacing w:after="140" w:line="300"/>
      </w:pPr>
      <w:r>
        <w:t xml:space="preserve">Durante años la validación se programaba a mano, con condicionales que revisaban cada campo. En 2017, Samuel Colvin publicó </w:t>
      </w:r>
      <w:r>
        <w:rPr>
          <w:b/>
          <w:bCs/>
        </w:rPr>
        <w:t xml:space="preserve">Pydantic</w:t>
      </w:r>
      <w:r>
        <w:t xml:space="preserve">, con una propuesta distinta: </w:t>
      </w:r>
      <w:r>
        <w:rPr>
          <w:b/>
          <w:bCs/>
        </w:rPr>
        <w:t xml:space="preserve">usar las anotaciones de tipo del propio lenguaje</w:t>
      </w:r>
      <w:r>
        <w:t xml:space="preserve"> —que existían desde Python 3.5 y hasta entonces eran sólo documentación— para validar en tiempo de ejecución. Su versión 2, de 2023, reescribió el núcleo en Rust y lo volvió lo bastante rápido para </w:t>
      </w:r>
      <w:r>
        <w:rPr>
          <w:b/>
          <w:bCs/>
        </w:rPr>
        <w:t xml:space="preserve">no ser un costo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Las cuatro decisiones que gobiernan el capítulo</w:t>
            </w:r>
          </w:p>
        </w:tc>
        <w:tc>
          <w:tcPr>
            <w:tcW w:type="dxa" w:w="58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1. El tipo es la validación</w:t>
            </w:r>
          </w:p>
        </w:tc>
        <w:tc>
          <w:tcPr>
            <w:tcW w:type="dxa" w:w="5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se declara y </w:t>
            </w:r>
            <w:r>
              <w:rPr>
                <w:b/>
                <w:bCs/>
                <w:sz w:val="19"/>
                <w:szCs w:val="19"/>
              </w:rPr>
              <w:t xml:space="preserve">además</w:t>
            </w:r>
            <w:r>
              <w:rPr>
                <w:sz w:val="19"/>
                <w:szCs w:val="19"/>
              </w:rPr>
              <w:t xml:space="preserve"> se valida: </w:t>
            </w:r>
            <w:r>
              <w:rPr>
                <w:b/>
                <w:bCs/>
                <w:sz w:val="19"/>
                <w:szCs w:val="19"/>
              </w:rPr>
              <w:t xml:space="preserve">declarar es validar</w:t>
            </w:r>
            <w:r>
              <w:rPr>
                <w:sz w:val="19"/>
                <w:szCs w:val="19"/>
              </w:rPr>
              <w:t xml:space="preserve">. Es lo que el Capítulo 1 señaló al decir que las anotaciones dejaron de ser documentación y pasaron a ser comportamiento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2. El contrato se deriva del código</w:t>
            </w:r>
          </w:p>
        </w:tc>
        <w:tc>
          <w:tcPr>
            <w:tcW w:type="dxa" w:w="5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 la lección de las tres etapas: lo que no existe separado del código no se puede desactualizar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3. Fallar temprano y con detalle</w:t>
            </w:r>
          </w:p>
        </w:tc>
        <w:tc>
          <w:tcPr>
            <w:tcW w:type="dxa" w:w="5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 la entrada no cumple, se rechaza </w:t>
            </w:r>
            <w:r>
              <w:rPr>
                <w:b/>
                <w:bCs/>
                <w:sz w:val="19"/>
                <w:szCs w:val="19"/>
              </w:rPr>
              <w:t xml:space="preserve">antes</w:t>
            </w:r>
            <w:r>
              <w:rPr>
                <w:sz w:val="19"/>
                <w:szCs w:val="19"/>
              </w:rPr>
              <w:t xml:space="preserve"> de que corra la lógica, y el rechazo dice exactamente </w:t>
            </w:r>
            <w:r>
              <w:rPr>
                <w:b/>
                <w:bCs/>
                <w:sz w:val="19"/>
                <w:szCs w:val="19"/>
              </w:rPr>
              <w:t xml:space="preserve">qué campo falló, qué se esperaba y qué llegó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4. Entrada y salida son cosas distintas</w:t>
            </w:r>
          </w:p>
        </w:tc>
        <w:tc>
          <w:tcPr>
            <w:tcW w:type="dxa" w:w="5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modelo con el que se recibe </w:t>
            </w: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 es el modelo con el que se responde, y </w:t>
            </w:r>
            <w:r>
              <w:rPr>
                <w:b/>
                <w:bCs/>
                <w:sz w:val="19"/>
                <w:szCs w:val="19"/>
              </w:rPr>
              <w:t xml:space="preserve">ninguno de los dos es la tabla</w:t>
            </w:r>
            <w:r>
              <w:rPr>
                <w:sz w:val="19"/>
                <w:szCs w:val="19"/>
              </w:rPr>
              <w:t xml:space="preserve">. La sección 2.5 desarrolla por qué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EL PIZARRÓN: el patrón, que es el mismo de toda la carrera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SOAP resolvió el desajuste haciendo que nada pudiera moverse. REST resolvió la rigidez perdiendo la garantía. OpenAPI busca el punto medio.</w:t>
            </w:r>
          </w:p>
          <w:p>
            <w:pPr>
              <w:spacing w:after="110" w:line="290"/>
            </w:pPr>
            <w:r>
              <w:t xml:space="preserve">Nadie inventó nada mágico. Cada etapa </w:t>
            </w:r>
            <w:r>
              <w:rPr>
                <w:b/>
                <w:bCs/>
              </w:rPr>
              <w:t xml:space="preserve">resignó algo distinto</w:t>
            </w:r>
            <w:r>
              <w:t xml:space="preserve">, y la que ganó fue la que resignó lo que menos dolía en ese momento.</w:t>
            </w:r>
          </w:p>
          <w:p>
            <w:pPr>
              <w:spacing w:after="110" w:line="290"/>
            </w:pPr>
            <w:r>
              <w:t xml:space="preserve">Y ojo con la trampa: </w:t>
            </w:r>
            <w:r>
              <w:rPr>
                <w:b/>
                <w:bCs/>
              </w:rPr>
              <w:t xml:space="preserve">no es que OpenAPI sea «la solución definitiva»</w:t>
            </w:r>
            <w:r>
              <w:t xml:space="preserve">. Es la solución a los problemas de las dos anteriores, con sus propios costos — que el contrato </w:t>
            </w:r>
            <w:r>
              <w:rPr>
                <w:b/>
                <w:bCs/>
              </w:rPr>
              <w:t xml:space="preserve">depende de que vos declares bien los tipos</w:t>
            </w:r>
            <w:r>
              <w:t xml:space="preserve">, por ejemplo.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pregunta que te tenés que hacer con cada herramienta es siempre la misma: ¿qué resignó para funcionar?</w:t>
            </w:r>
            <w:r>
              <w:t xml:space="preserve"> Si no lo ves, todavía no la entendiste.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2.3 — Anatomía de un modelo</w:t>
      </w:r>
    </w:p>
    <w:p>
      <w:pPr>
        <w:spacing w:after="140" w:line="300"/>
      </w:pPr>
      <w:r>
        <w:t xml:space="preserve">Un modelo declara </w:t>
      </w:r>
      <w:r>
        <w:rPr>
          <w:b/>
          <w:bCs/>
        </w:rPr>
        <w:t xml:space="preserve">la forma de un dato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decimal import Decimal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typing import Annotated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pydantic import BaseModel, Field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ProductoCreate(BaseModel):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nombre: Annotated[str, Field(min_length=1, max_length=120)]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descripcion: Annotated[str | None, Field(max_length=500)] = None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precio: Annotated[Decimal, Field(gt=0, max_digits=10, decimal_places=2)]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categoria_id: Annotated[int, Field(gt=0)]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disponible: bool = True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Cada línea declara </w:t>
      </w:r>
      <w:r>
        <w:rPr>
          <w:b/>
          <w:bCs/>
        </w:rPr>
        <w:t xml:space="preserve">cuatro cosas a la vez</w:t>
      </w:r>
      <w:r>
        <w:t xml:space="preserve">, y conviene tenerlas separadas: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determina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Nombre del campo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nombre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clave en el JSON</w:t>
            </w:r>
          </w:p>
        </w:tc>
      </w:tr>
      <w:tr>
        <w:tc>
          <w:tcPr>
            <w:tcW w:type="dxa" w:w="2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Tipo</w:t>
            </w:r>
          </w:p>
        </w:tc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</w:t>
            </w:r>
          </w:p>
        </w:tc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Qué se acepta y a qué se convierte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min_length=1, max_length=120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Qué valores son válidos </w:t>
            </w:r>
            <w:r>
              <w:rPr>
                <w:b/>
                <w:bCs/>
                <w:sz w:val="19"/>
                <w:szCs w:val="19"/>
              </w:rPr>
              <w:t xml:space="preserve">dentro</w:t>
            </w:r>
            <w:r>
              <w:rPr>
                <w:sz w:val="19"/>
                <w:szCs w:val="19"/>
              </w:rPr>
              <w:t xml:space="preserve"> del tipo</w:t>
            </w:r>
          </w:p>
        </w:tc>
      </w:tr>
      <w:tr>
        <w:tc>
          <w:tcPr>
            <w:tcW w:type="dxa" w:w="2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Valor por defecto</w:t>
            </w:r>
          </w:p>
        </w:tc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i/>
                <w:iCs/>
                <w:sz w:val="19"/>
                <w:szCs w:val="19"/>
              </w:rPr>
              <w:t xml:space="preserve">(no tiene)</w:t>
            </w:r>
          </w:p>
        </w:tc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Si el campo es obligatorio o no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La última fila es la que más confusión genera, y la regla es simple: </w:t>
      </w:r>
      <w:r>
        <w:rPr>
          <w:b/>
          <w:bCs/>
        </w:rPr>
        <w:t xml:space="preserve">un campo sin valor por defecto es obligatorio.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descripcion</w:t>
      </w:r>
      <w:r>
        <w:t xml:space="preserve"> tiene </w:t>
      </w:r>
      <w:r>
        <w:rPr>
          <w:rFonts w:ascii="Consolas" w:cs="Consolas" w:eastAsia="Consolas" w:hAnsi="Consolas"/>
          <w:sz w:val="19"/>
          <w:szCs w:val="19"/>
        </w:rPr>
        <w:t xml:space="preserve">= None</w:t>
      </w:r>
      <w:r>
        <w:t xml:space="preserve">, así que se puede omitir. </w:t>
      </w:r>
      <w:r>
        <w:rPr>
          <w:rFonts w:ascii="Consolas" w:cs="Consolas" w:eastAsia="Consolas" w:hAnsi="Consolas"/>
          <w:sz w:val="19"/>
          <w:szCs w:val="19"/>
        </w:rPr>
        <w:t xml:space="preserve">nombre</w:t>
      </w:r>
      <w:r>
        <w:t xml:space="preserve"> no tiene, así que omitirlo produce un error.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«puede ser nulo» y «se puede omitir» no son lo mismo</w:t>
            </w:r>
          </w:p>
          <w:p>
            <w:pPr>
              <w:spacing w:after="110" w:line="290"/>
            </w:pPr>
            <w:r>
              <w:t xml:space="preserve">Esta distinción confunde a todo el mundo. Mirá las cuatro combinaciones juntas y quedate con esto: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a: str                    # obligatorio, no admite nulo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b: str | None             # OBLIGATORIO, admite nulo   ← el que sorprende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c: str = "x"              # opcional, no admite nulo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d: str | None = None      # opcional, admite nulo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t xml:space="preserve">El caso </w:t>
            </w:r>
            <w:r>
              <w:rPr>
                <w:b/>
                <w:bCs/>
              </w:rPr>
              <w:t xml:space="preserve">b</w:t>
            </w:r>
            <w:r>
              <w:t xml:space="preserve"> es el que nadie espera: </w:t>
            </w:r>
            <w:r>
              <w:rPr>
                <w:b/>
                <w:bCs/>
              </w:rPr>
              <w:t xml:space="preserve">hay que mandarlo sí o sí, pero podés mandar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null</w:t>
            </w:r>
            <w:r>
              <w:rPr>
                <w:b/>
                <w:bCs/>
              </w:rPr>
              <w:t xml:space="preserve">.</w:t>
            </w:r>
            <w:r>
              <w:t xml:space="preserve"> Si te olvidás de poner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 None</w:t>
            </w:r>
            <w:r>
              <w:t xml:space="preserve">, tu campo «opcional» </w:t>
            </w:r>
            <w:r>
              <w:rPr>
                <w:b/>
                <w:bCs/>
              </w:rPr>
              <w:t xml:space="preserve">no es opcional</w:t>
            </w:r>
            <w:r>
              <w:t xml:space="preserve"> y el cliente se come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422</w:t>
            </w:r>
            <w:r>
              <w:t xml:space="preserve"> que no entiende.</w:t>
            </w:r>
          </w:p>
          <w:p>
            <w:pPr>
              <w:spacing w:after="110" w:line="290"/>
            </w:pPr>
            <w:r>
              <w:t xml:space="preserve">La regla, y no tiene excepciones: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El tipo</w:t>
            </w:r>
            <w:r>
              <w:t xml:space="preserve"> responde </w:t>
            </w:r>
            <w:r>
              <w:rPr>
                <w:i/>
                <w:iCs/>
              </w:rPr>
              <w:t xml:space="preserve">¿qué valores acepto?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El valor por defecto</w:t>
            </w:r>
            <w:r>
              <w:t xml:space="preserve"> responde </w:t>
            </w:r>
            <w:r>
              <w:rPr>
                <w:i/>
                <w:iCs/>
              </w:rPr>
              <w:t xml:space="preserve">¿se puede omitir?</w:t>
            </w:r>
          </w:p>
          <w:p>
            <w:pPr>
              <w:spacing w:after="110" w:line="290"/>
            </w:pPr>
            <w:r>
              <w:t xml:space="preserve">Son dos preguntas distintas. Que la respuesta a las dos suela ser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None</w:t>
            </w:r>
            <w:r>
              <w:t xml:space="preserve"> es lo que hace que se confundan.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Las restricciones más usadas: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000"/>
        <w:gridCol w:w="2400"/>
        <w:gridCol w:w="36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2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Aplica a</w:t>
            </w:r>
          </w:p>
        </w:tc>
        <w:tc>
          <w:tcPr>
            <w:tcW w:type="dxa" w:w="3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del dominio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Números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gt=0</w:t>
            </w:r>
            <w:r>
              <w:rPr>
                <w:sz w:val="19"/>
                <w:szCs w:val="19"/>
              </w:rPr>
              <w:t xml:space="preserve"> para un precio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min_length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max_length</w:t>
            </w:r>
          </w:p>
        </w:tc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Textos y listas</w:t>
            </w:r>
          </w:p>
        </w:tc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max_length=120</w:t>
            </w:r>
            <w:r>
              <w:rPr>
                <w:sz w:val="19"/>
                <w:szCs w:val="19"/>
              </w:rPr>
              <w:t xml:space="preserve"> para un nombre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pattern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Textos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 código de unidad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max_digits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decimal_places</w:t>
            </w:r>
          </w:p>
        </w:tc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Decimales</w:t>
            </w:r>
          </w:p>
        </w:tc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DECIMAL(10,2)</w:t>
            </w:r>
            <w:r>
              <w:rPr>
                <w:sz w:val="19"/>
                <w:szCs w:val="19"/>
              </w:rPr>
              <w:t xml:space="preserve"> para importes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Y para valores cerrados —un conjunto fijo de opciones— corresponde una </w:t>
      </w:r>
      <w:r>
        <w:rPr>
          <w:b/>
          <w:bCs/>
        </w:rPr>
        <w:t xml:space="preserve">enumeración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enum import StrEnum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EstadoPedido(StrEnum):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PENDIENTE = "pendiente"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CONFIRMADO = "confirmado"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EN_PREPARACION = "en_preparacion"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ENTREGADO = "entregado"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CANCELADO = "cancelado"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Eso hace tres cosas: </w:t>
      </w:r>
      <w:r>
        <w:rPr>
          <w:b/>
          <w:bCs/>
        </w:rPr>
        <w:t xml:space="preserve">rechaza</w:t>
      </w:r>
      <w:r>
        <w:t xml:space="preserve"> cualquier valor fuera de la lista, </w:t>
      </w:r>
      <w:r>
        <w:rPr>
          <w:b/>
          <w:bCs/>
        </w:rPr>
        <w:t xml:space="preserve">documenta</w:t>
      </w:r>
      <w:r>
        <w:t xml:space="preserve"> los cinco valores en la especificación, y —esto es lo que conviene señalar— </w:t>
      </w:r>
      <w:r>
        <w:rPr>
          <w:b/>
          <w:bCs/>
        </w:rPr>
        <w:t xml:space="preserve">es exactamente lo que la otra mitad de la cursada escribe como unión literal en TypeScript</w:t>
      </w:r>
      <w:r>
        <w:t xml:space="preserve">. Los dos lados expresan la misma restricción con la herramienta de su lenguaje, y la especificación de OpenAPI es lo que los mantiene alineados.</w:t>
      </w:r>
    </w:p>
    <w:p>
      <w:pPr>
        <w:pStyle w:val="Heading2"/>
        <w:keepNext/>
        <w:spacing w:after="140" w:before="280"/>
      </w:pPr>
      <w:r>
        <w:t xml:space="preserve">2.3.1 — Cuando la restricción no entra en un campo</w:t>
      </w:r>
    </w:p>
    <w:p>
      <w:pPr>
        <w:spacing w:after="140" w:line="300"/>
      </w:pPr>
      <w:r>
        <w:t xml:space="preserve">Las restricciones declarativas cubren la mayoría de los casos, pero no todos. Dos situaciones se les escapan, y para cada una hay una herramienta.</w:t>
      </w:r>
    </w:p>
    <w:p>
      <w:pPr>
        <w:pStyle w:val="Heading3"/>
        <w:keepNext/>
        <w:spacing w:after="100" w:before="220"/>
      </w:pPr>
      <w:r>
        <w:t xml:space="preserve">Una regla sobre un solo campo que no es estándar</w:t>
      </w:r>
    </w:p>
    <w:p>
      <w:pPr>
        <w:spacing w:after="140" w:line="300"/>
      </w:pPr>
      <w:r>
        <w:t xml:space="preserve">Por ejemplo, que un nombre </w:t>
      </w:r>
      <w:r>
        <w:rPr>
          <w:b/>
          <w:bCs/>
        </w:rPr>
        <w:t xml:space="preserve">no sea sólo espacios en blanco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pydantic import field_validator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ProductoCreate(BaseModel):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nombre: Annotated[str, Field(min_length=1, max_length=120)]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@field_validator("nombre")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@classmethod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nombre_no_vacio(cls, v: str) -&gt; str: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limpio = v.strip()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not limpio: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raise ValueError("El nombre no puede ser sólo espacios")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limpio          # devolver el valor normalizado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Fijate que el validador </w:t>
      </w:r>
      <w:r>
        <w:rPr>
          <w:b/>
          <w:bCs/>
        </w:rPr>
        <w:t xml:space="preserve">devuelve un valor</w:t>
      </w:r>
      <w:r>
        <w:t xml:space="preserve">, y ese valor es el que queda. Sirve tanto </w:t>
      </w:r>
      <w:r>
        <w:rPr>
          <w:b/>
          <w:bCs/>
        </w:rPr>
        <w:t xml:space="preserve">para rechazar como para normalizar</w:t>
      </w:r>
      <w:r>
        <w:t xml:space="preserve">: recortar espacios, pasar a minúsculas, unificar formato. </w:t>
      </w:r>
      <w:r>
        <w:rPr>
          <w:b/>
          <w:bCs/>
        </w:rPr>
        <w:t xml:space="preserve">Normalizar en el borde evita que cada consulta después tenga que contemplar variantes</w:t>
      </w:r>
      <w:r>
        <w:t xml:space="preserve"> — si limpiás el nombre acá, no hay que acordarse de limpiarlo en los quince lugares donde se compara.</w:t>
      </w:r>
    </w:p>
    <w:p>
      <w:pPr>
        <w:pStyle w:val="Heading3"/>
        <w:keepNext/>
        <w:spacing w:after="100" w:before="220"/>
      </w:pPr>
      <w:r>
        <w:t xml:space="preserve">Una regla que involucra dos campos a la vez</w:t>
      </w:r>
    </w:p>
    <w:p>
      <w:pPr>
        <w:spacing w:after="140" w:line="300"/>
      </w:pPr>
      <w:r>
        <w:t xml:space="preserve">Ninguna restricción de campo puede expresar «la fecha de fin tiene que ser posterior a la de inicio», porque </w:t>
      </w:r>
      <w:r>
        <w:rPr>
          <w:b/>
          <w:bCs/>
        </w:rPr>
        <w:t xml:space="preserve">necesita ver los dos</w:t>
      </w:r>
      <w:r>
        <w:t xml:space="preserve">. Para eso existe la validación a nivel de modelo, que corre </w:t>
      </w:r>
      <w:r>
        <w:rPr>
          <w:b/>
          <w:bCs/>
        </w:rPr>
        <w:t xml:space="preserve">después</w:t>
      </w:r>
      <w:r>
        <w:t xml:space="preserve"> de que todos los campos se validaron por separado: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pydantic import model_validator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RangoDeFechas(BaseModel):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desde: date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hasta: date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@model_validator(mode="after")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rango_coherente(self):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self.hasta &lt; self.desde: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raise ValueError("hasta no puede ser anterior a desde")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Un detalle de zonas horarias que conviene retener</w:t>
            </w:r>
          </w:p>
          <w:p>
            <w:pPr>
              <w:spacing w:after="110" w:line="290"/>
            </w:pPr>
            <w:r>
              <w:t xml:space="preserve">El TPI usa este par de fechas en varios endpoints de estadísticas, y su sección 6.1 agrega una precisión: los pares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desde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hasta</w:t>
            </w:r>
            <w:r>
              <w:t xml:space="preserve"> son </w:t>
            </w:r>
            <w:r>
              <w:rPr>
                <w:b/>
                <w:bCs/>
              </w:rPr>
              <w:t xml:space="preserve">fechas civiles interpretadas en la zona horaria de la aplicación</w:t>
            </w:r>
            <w:r>
              <w:t xml:space="preserve">, mientras que </w:t>
            </w:r>
            <w:r>
              <w:rPr>
                <w:b/>
                <w:bCs/>
              </w:rPr>
              <w:t xml:space="preserve">todas las marcas de tiempo se almacenan y se devuelven en UTC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Son </w:t>
            </w:r>
            <w:r>
              <w:rPr>
                <w:b/>
                <w:bCs/>
              </w:rPr>
              <w:t xml:space="preserve">dos cosas distintas viviendo en la misma petición</w:t>
            </w:r>
            <w:r>
              <w:t xml:space="preserve">. Confundirlas produce ese bug clásico donde el reporte «del martes» incluye tres horas del miércoles.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Una advertencia de criterio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Estas herramientas son para reglas del contrato, no para reglas de negocio.</w:t>
            </w:r>
          </w:p>
          <w:p>
            <w:pPr>
              <w:spacing w:after="110" w:line="290"/>
            </w:pPr>
            <w:r>
              <w:t xml:space="preserve">Que un nombre no sea espacios </w:t>
            </w:r>
            <w:r>
              <w:rPr>
                <w:b/>
                <w:bCs/>
              </w:rPr>
              <w:t xml:space="preserve">es del contrato</w:t>
            </w:r>
            <w:r>
              <w:t xml:space="preserve">. Que un producto no se pueda vender sin stock </w:t>
            </w:r>
            <w:r>
              <w:rPr>
                <w:b/>
                <w:bCs/>
              </w:rPr>
              <w:t xml:space="preserve">es del dominio</w:t>
            </w:r>
            <w:r>
              <w:t xml:space="preserve">, y va en el Service.</w:t>
            </w:r>
          </w:p>
          <w:p>
            <w:pPr>
              <w:spacing w:after="110" w:line="290"/>
            </w:pPr>
            <w:r>
              <w:t xml:space="preserve">Meter reglas de negocio en el schema las vuelve </w:t>
            </w:r>
            <w:r>
              <w:rPr>
                <w:b/>
                <w:bCs/>
              </w:rPr>
              <w:t xml:space="preserve">imposibles de probar sin construir una petición HTTP</w:t>
            </w:r>
            <w:r>
              <w:t xml:space="preserve"> — y ese es exactamente el problema que la clase 1 explicó con las capas.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2.4 — Qué ocurre durante la validación</w:t>
      </w:r>
    </w:p>
    <w:p>
      <w:pPr>
        <w:spacing w:after="140" w:line="300"/>
      </w:pPr>
      <w:r>
        <w:t xml:space="preserve">Al llegar una petición, el marco de trabajo ejecuta </w:t>
      </w:r>
      <w:r>
        <w:rPr>
          <w:b/>
          <w:bCs/>
        </w:rPr>
        <w:t xml:space="preserve">cuatro pasos antes de que el handler corra</w:t>
      </w:r>
      <w:r>
        <w:t xml:space="preserve">. Conocer el orden importa, porque explica comportamientos que de otro modo sorprenden.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2.2 </w:t>
      </w:r>
      <w:r>
        <w:rPr>
          <w:i/>
          <w:iCs/>
          <w:color w:val="5A6472"/>
          <w:sz w:val="18"/>
          <w:szCs w:val="18"/>
        </w:rPr>
        <w:t xml:space="preserve">— Los cuatro pasos de la validación, y dónde nace el 422.</w:t>
      </w:r>
    </w:p>
    <w:p>
      <w:pPr>
        <w:pStyle w:val="Heading3"/>
        <w:keepNext/>
        <w:spacing w:after="100" w:before="220"/>
      </w:pPr>
      <w:r>
        <w:t xml:space="preserve">El paso 2 merece atención, porque es una decisión y no un descuido</w:t>
      </w:r>
    </w:p>
    <w:p>
      <w:pPr>
        <w:spacing w:after="140" w:line="300"/>
      </w:pPr>
      <w:r>
        <w:t xml:space="preserve">Por defecto, el modo es </w:t>
      </w:r>
      <w:r>
        <w:rPr>
          <w:b/>
          <w:bCs/>
        </w:rPr>
        <w:t xml:space="preserve">permisivo</w:t>
      </w:r>
      <w:r>
        <w:t xml:space="preserve">: si un valor se puede convertir sin ambigüedad, se convierte. Eso es razonable para HTTP, donde </w:t>
      </w:r>
      <w:r>
        <w:rPr>
          <w:b/>
          <w:bCs/>
        </w:rPr>
        <w:t xml:space="preserve">todo llega como texto</w:t>
      </w:r>
      <w:r>
        <w:t xml:space="preserve"> — un parámetro de consulta es siempre una cadena, y exigirle al cliente que distinga tipos que la URL no puede expresar sería absurdo.</w:t>
      </w:r>
    </w:p>
    <w:p>
      <w:pPr>
        <w:spacing w:after="140" w:line="300"/>
      </w:pPr>
      <w:r>
        <w:t xml:space="preserve">Pero tiene una contracara: </w:t>
      </w:r>
      <w:r>
        <w:rPr>
          <w:b/>
          <w:bCs/>
        </w:rPr>
        <w:t xml:space="preserve">la coerción puede ocultar un error del cliente.</w:t>
      </w:r>
      <w:r>
        <w:t xml:space="preserve"> Si alguien manda </w:t>
      </w:r>
      <w:r>
        <w:rPr>
          <w:rFonts w:ascii="Consolas" w:cs="Consolas" w:eastAsia="Consolas" w:hAnsi="Consolas"/>
          <w:sz w:val="19"/>
          <w:szCs w:val="19"/>
        </w:rPr>
        <w:t xml:space="preserve">"1234.50"</w:t>
      </w:r>
      <w:r>
        <w:t xml:space="preserve"> donde va un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, se acepta. Si manda </w:t>
      </w:r>
      <w:r>
        <w:rPr>
          <w:rFonts w:ascii="Consolas" w:cs="Consolas" w:eastAsia="Consolas" w:hAnsi="Consolas"/>
          <w:sz w:val="19"/>
          <w:szCs w:val="19"/>
        </w:rPr>
        <w:t xml:space="preserve">1234.5</w:t>
      </w:r>
      <w:r>
        <w:t xml:space="preserve"> como número de punto flotante, </w:t>
      </w:r>
      <w:r>
        <w:rPr>
          <w:b/>
          <w:bCs/>
        </w:rPr>
        <w:t xml:space="preserve">también</w:t>
      </w:r>
      <w:r>
        <w:t xml:space="preserve"> — y ahí ya se perdió precisión antes de llegar. Por eso el TPI declara que los importes viajan como cadena: no es sólo para el cliente, es </w:t>
      </w:r>
      <w:r>
        <w:rPr>
          <w:b/>
          <w:bCs/>
        </w:rPr>
        <w:t xml:space="preserve">para que no haya conversión intermedia por punto flotante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que un valor se acepte no significa que esté bien mandado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class Filtro(BaseModel):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activo: bool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Todo esto se acepta y vale True: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{"activo": true}   {"activo": "true"}   {"activo": 1}   {"activo": "yes"}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t xml:space="preserve">Eso está bien para HTTP —de una URL todo llega como texto— y </w:t>
            </w:r>
            <w:r>
              <w:rPr>
                <w:b/>
                <w:bCs/>
              </w:rPr>
              <w:t xml:space="preserve">está mal cuando disimula un bug del cliente</w:t>
            </w:r>
            <w:r>
              <w:t xml:space="preserve">. Si el frontend te manda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"yes"</w:t>
            </w:r>
            <w:r>
              <w:t xml:space="preserve"> porque alguien concatenó mal, </w:t>
            </w:r>
            <w:r>
              <w:rPr>
                <w:b/>
                <w:bCs/>
              </w:rPr>
              <w:t xml:space="preserve">vos nunca te enterás: lo aceptaste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Y ojo con el caso feo: </w:t>
            </w:r>
            <w:r>
              <w:rPr>
                <w:b/>
                <w:bCs/>
              </w:rPr>
              <w:t xml:space="preserve">si el cliente te manda un importe como número JSON en vez de cadena, se acepta igual</w:t>
            </w:r>
            <w:r>
              <w:t xml:space="preserve"> — y para cuando llegó a tu modelo, JavaScript ya lo convirtió a punto flotante y le comió precisión. Por eso el TPI declara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</w:t>
            </w:r>
            <w:r>
              <w:t xml:space="preserve"> de los dos lados: </w:t>
            </w:r>
            <w:r>
              <w:rPr>
                <w:b/>
                <w:bCs/>
              </w:rPr>
              <w:t xml:space="preserve">no es una preferencia, es cerrar esa puerta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Cuando quieras que no haya coerción, existe </w:t>
            </w:r>
            <w:r>
              <w:rPr>
                <w:b/>
                <w:bCs/>
              </w:rPr>
              <w:t xml:space="preserve">el modo estricto</w:t>
            </w:r>
            <w:r>
              <w:t xml:space="preserve">. Usalo donde importe.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2.5 — Modelos segregados: por qué tres y no uno</w:t>
      </w:r>
    </w:p>
    <w:p>
      <w:pPr>
        <w:spacing w:after="140" w:line="300"/>
      </w:pPr>
      <w:r>
        <w:t xml:space="preserve">La tentación natural es escribir </w:t>
      </w:r>
      <w:r>
        <w:rPr>
          <w:b/>
          <w:bCs/>
        </w:rPr>
        <w:t xml:space="preserve">un solo modelo por entidad</w:t>
      </w:r>
      <w:r>
        <w:t xml:space="preserve"> y usarlo para todo. Conviene ver por qué no funciona antes de aceptar la alternativa.</w:t>
      </w:r>
    </w:p>
    <w:p>
      <w:pPr>
        <w:spacing w:after="140" w:line="300"/>
      </w:pPr>
      <w:r>
        <w:t xml:space="preserve">Un </w:t>
      </w:r>
      <w:r>
        <w:rPr>
          <w:rFonts w:ascii="Consolas" w:cs="Consolas" w:eastAsia="Consolas" w:hAnsi="Consolas"/>
          <w:sz w:val="19"/>
          <w:szCs w:val="19"/>
        </w:rPr>
        <w:t xml:space="preserve">Producto</w:t>
      </w:r>
      <w:r>
        <w:t xml:space="preserve"> tiene identificador, nombre, precio, fecha de creación, y quizá un campo interno de costo que </w:t>
      </w:r>
      <w:r>
        <w:rPr>
          <w:b/>
          <w:bCs/>
        </w:rPr>
        <w:t xml:space="preserve">no debe salir nunca</w:t>
      </w:r>
      <w:r>
        <w:t xml:space="preserve">. Con un solo modelo aparecen </w:t>
      </w:r>
      <w:r>
        <w:rPr>
          <w:b/>
          <w:bCs/>
        </w:rPr>
        <w:t xml:space="preserve">tres problemas a la vez</w:t>
      </w:r>
      <w:r>
        <w:t xml:space="preserve">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2.3 </w:t>
      </w:r>
      <w:r>
        <w:rPr>
          <w:i/>
          <w:iCs/>
          <w:color w:val="5A6472"/>
          <w:sz w:val="18"/>
          <w:szCs w:val="18"/>
        </w:rPr>
        <w:t xml:space="preserve">— Los tres modelos segregados y qué campo aparece en cada uno.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ProductoBase(BaseModel):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nombre: Annotated[str, Field(min_length=1, max_length=120)]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precio: Annotated[Decimal, Field(gt=0, max_digits=10, decimal_places=2)]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ProductoCreate(ProductoBase):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categoria_id: Annotated[int, Field(gt=0)]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ProductoUpdate(BaseModel):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nombre: Annotated[str | None, Field(min_length=1, max_length=120)] = None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precio: Annotated[Decimal | None, Field(gt=0)] = None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ProductoPublic(ProductoBase):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id: int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creado_en: datetime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el costo interno no está: no sale nunca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response_model es lo más subestimado del marco de trabajo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Filtra la salida aunque tu código se equivoque.</w:t>
            </w:r>
          </w:p>
          <w:p>
            <w:pPr>
              <w:spacing w:after="110" w:line="290"/>
            </w:pPr>
            <w:r>
              <w:t xml:space="preserve">Pensá el caso concreto: hoy el modelo de la tabla no tiene ningún campo sensible. Dentro de tres meses alguien agrega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costo_interno</w:t>
            </w:r>
            <w:r>
              <w:t xml:space="preserve"> para calcular márgenes. Si el endpoint devuelve el objeto tal cual, </w:t>
            </w:r>
            <w:r>
              <w:rPr>
                <w:b/>
                <w:bCs/>
              </w:rPr>
              <w:t xml:space="preserve">ese campo empieza a viajar al cliente ese mismo día</w:t>
            </w:r>
            <w:r>
              <w:t xml:space="preserve">, sin que nadie lo note.</w:t>
            </w:r>
          </w:p>
          <w:p>
            <w:pPr>
              <w:spacing w:after="110" w:line="290"/>
            </w:pPr>
            <w:r>
              <w:t xml:space="preserve">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response_model</w:t>
            </w:r>
            <w:r>
              <w:t xml:space="preserve">, </w:t>
            </w:r>
            <w:r>
              <w:rPr>
                <w:b/>
                <w:bCs/>
              </w:rPr>
              <w:t xml:space="preserve">no sale. Nadie tuvo que acordarse de nada.</w:t>
            </w:r>
          </w:p>
          <w:p>
            <w:pPr>
              <w:spacing w:after="110" w:line="290"/>
            </w:pPr>
            <w:r>
              <w:t xml:space="preserve">Es la misma idea que tus compañeros del turno de frontend ven en su última clase: </w:t>
            </w:r>
            <w:r>
              <w:rPr>
                <w:b/>
                <w:bCs/>
              </w:rPr>
              <w:t xml:space="preserve">las reglas que dependen de que alguien se acuerde fallan; las que hacen que equivocarse sea difícil, no.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2.6 — Actualización parcial: ausente contra nulo</w:t>
      </w:r>
    </w:p>
    <w:p>
      <w:pPr>
        <w:spacing w:after="140" w:line="300"/>
      </w:pPr>
      <w:r>
        <w:t xml:space="preserve">Acá aparece un problema que </w:t>
      </w:r>
      <w:r>
        <w:rPr>
          <w:b/>
          <w:bCs/>
        </w:rPr>
        <w:t xml:space="preserve">parece de detalle y no lo es</w:t>
      </w:r>
      <w:r>
        <w:t xml:space="preserve">, y el TPI lo resuelve explícitamente en su sección 6.1.</w:t>
      </w:r>
    </w:p>
    <w:p>
      <w:pPr>
        <w:spacing w:after="140" w:line="300"/>
      </w:pPr>
      <w:r>
        <w:t xml:space="preserve">Cuando llega una modificación parcial, hay </w:t>
      </w:r>
      <w:r>
        <w:rPr>
          <w:b/>
          <w:bCs/>
        </w:rPr>
        <w:t xml:space="preserve">tres situaciones distintas</w:t>
      </w:r>
      <w:r>
        <w:t xml:space="preserve"> para cada campo, y sólo dos son fáciles: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cliente…</w:t>
            </w:r>
          </w:p>
        </w:tc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</w:t>
            </w:r>
          </w:p>
        </w:tc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hay que hacer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Manda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{"nombre": "Napolitana"}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«Cambiá el nombre a esto»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Actualizar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manda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«No toques el nombre»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Dejarlo intacto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Manda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{"nombre": null}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«Vaciá el nombre»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Poner nulo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La segunda y la tercera fila se ven iguales</w:t>
      </w:r>
      <w:r>
        <w:t xml:space="preserve"> si sólo se mira el objeto ya construido: en las dos, </w:t>
      </w:r>
      <w:r>
        <w:rPr>
          <w:rFonts w:ascii="Consolas" w:cs="Consolas" w:eastAsia="Consolas" w:hAnsi="Consolas"/>
          <w:sz w:val="19"/>
          <w:szCs w:val="19"/>
        </w:rPr>
        <w:t xml:space="preserve">modelo.nombre</w:t>
      </w:r>
      <w:r>
        <w:t xml:space="preserve"> vale </w:t>
      </w:r>
      <w:r>
        <w:rPr>
          <w:rFonts w:ascii="Consolas" w:cs="Consolas" w:eastAsia="Consolas" w:hAnsi="Consolas"/>
          <w:sz w:val="19"/>
          <w:szCs w:val="19"/>
        </w:rPr>
        <w:t xml:space="preserve">None</w:t>
      </w:r>
      <w:r>
        <w:t xml:space="preserve">. </w:t>
      </w:r>
      <w:r>
        <w:rPr>
          <w:b/>
          <w:bCs/>
        </w:rPr>
        <w:t xml:space="preserve">Y son órdenes opuestas.</w:t>
      </w:r>
    </w:p>
    <w:p>
      <w:pPr>
        <w:spacing w:after="140" w:line="300"/>
      </w:pPr>
      <w:r>
        <w:t xml:space="preserve">La distinción se resuelve preguntando </w:t>
      </w:r>
      <w:r>
        <w:rPr>
          <w:b/>
          <w:bCs/>
        </w:rPr>
        <w:t xml:space="preserve">qué campos vinieron efectivamente</w:t>
      </w:r>
      <w:r>
        <w:t xml:space="preserve">, y el TPI declara cómo: los schemas </w:t>
      </w:r>
      <w:r>
        <w:rPr>
          <w:rFonts w:ascii="Consolas" w:cs="Consolas" w:eastAsia="Consolas" w:hAnsi="Consolas"/>
          <w:sz w:val="19"/>
          <w:szCs w:val="19"/>
        </w:rPr>
        <w:t xml:space="preserve">Update</w:t>
      </w:r>
      <w:r>
        <w:t xml:space="preserve"> tienen </w:t>
      </w:r>
      <w:r>
        <w:rPr>
          <w:b/>
          <w:bCs/>
        </w:rPr>
        <w:t xml:space="preserve">todos sus campos opcionales</w:t>
      </w:r>
      <w:r>
        <w:t xml:space="preserve"> y el Service aplica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model_dump(exclude_unset=True)</w:t>
      </w:r>
      <w:r>
        <w:t xml:space="preserve">. Omitir un campo lo deja intacto; enviarlo explícitamente lo cambia.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datos = producto_update.model_dump(exclude_unset=True)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campo, valor in datos.items():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setattr(producto, campo, valor)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rFonts w:ascii="Consolas" w:cs="Consolas" w:eastAsia="Consolas" w:hAnsi="Consolas"/>
          <w:sz w:val="19"/>
          <w:szCs w:val="19"/>
        </w:rPr>
        <w:t xml:space="preserve">exclude_unset=True</w:t>
      </w:r>
      <w:r>
        <w:t xml:space="preserve"> devuelve </w:t>
      </w:r>
      <w:r>
        <w:rPr>
          <w:b/>
          <w:bCs/>
        </w:rPr>
        <w:t xml:space="preserve">sólo los campos que el cliente mandó</w:t>
      </w:r>
      <w:r>
        <w:t xml:space="preserve">. Si no mandó </w:t>
      </w:r>
      <w:r>
        <w:rPr>
          <w:rFonts w:ascii="Consolas" w:cs="Consolas" w:eastAsia="Consolas" w:hAnsi="Consolas"/>
          <w:sz w:val="19"/>
          <w:szCs w:val="19"/>
        </w:rPr>
        <w:t xml:space="preserve">nombre</w:t>
      </w:r>
      <w:r>
        <w:t xml:space="preserve">, no aparece en el diccionario y el bucle no lo toca. Si lo mandó como nulo, aparece con valor nulo y se aplica.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el bug más elegante y más difícil de encontrar del capítulo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MAL: model_dump() sin exclude_unset devuelve TODOS los campos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datos = producto_update.model_dump()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for campo, valor in datos.items():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setattr(producto, campo, valor)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t xml:space="preserve">El cliente mandó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{"precio": "5000.00"}</w:t>
            </w:r>
            <w:r>
              <w:t xml:space="preserve"> para cambiar </w:t>
            </w:r>
            <w:r>
              <w:rPr>
                <w:b/>
                <w:bCs/>
              </w:rPr>
              <w:t xml:space="preserve">sólo el precio</w:t>
            </w:r>
            <w:r>
              <w:t xml:space="preserve">. Pero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model_dump()</w:t>
            </w:r>
            <w:r>
              <w:t xml:space="preserve"> sin argumentos devuelve </w:t>
            </w:r>
            <w:r>
              <w:rPr>
                <w:b/>
                <w:bCs/>
              </w:rPr>
              <w:t xml:space="preserve">todos los campos del modelo</w:t>
            </w:r>
            <w:r>
              <w:t xml:space="preserve">, y los que el cliente no mandó </w:t>
            </w:r>
            <w:r>
              <w:rPr>
                <w:b/>
                <w:bCs/>
              </w:rPr>
              <w:t xml:space="preserve">valen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None</w:t>
            </w:r>
            <w:r>
              <w:rPr>
                <w:b/>
                <w:bCs/>
              </w:rPr>
              <w:t xml:space="preserve"> por ser opcionales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Resultado: le cambiaste el precio y le borraste el nombre, la descripción y la categoría.</w:t>
            </w:r>
          </w:p>
          <w:p>
            <w:pPr>
              <w:spacing w:after="110" w:line="290"/>
            </w:pPr>
            <w:r>
              <w:t xml:space="preserve">Y lo peor es cómo se manifiesta. El endpoint devuelve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200</w:t>
            </w:r>
            <w:r>
              <w:t xml:space="preserve">. No hay excepción, no hay log de error. Alguien entra tres días después y ve productos sin nombre, y </w:t>
            </w:r>
            <w:r>
              <w:rPr>
                <w:b/>
                <w:bCs/>
              </w:rPr>
              <w:t xml:space="preserve">nadie puede reconstruir qué pasó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Un solo argumento separa una actualización parcial de un borrado silencioso.</w:t>
            </w:r>
            <w:r>
              <w:t xml:space="preserve"> Por eso el TPI lo declara en la sección 6.1 en vez de dejarlo a criterio de cada uno.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2.7 — El dinero y las cantidades</w:t>
      </w:r>
    </w:p>
    <w:p>
      <w:pPr>
        <w:spacing w:after="140" w:line="300"/>
      </w:pPr>
      <w:r>
        <w:t xml:space="preserve">El TPI es taxativo en su sección 6.1: todos los importes son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DECIMAL(10,2)</w:t>
      </w:r>
      <w:r>
        <w:t xml:space="preserve"> en la moneda declarada y viajan en JSON </w:t>
      </w:r>
      <w:r>
        <w:rPr>
          <w:b/>
          <w:bCs/>
        </w:rPr>
        <w:t xml:space="preserve">como cadena decimal</w:t>
      </w:r>
      <w:r>
        <w:t xml:space="preserve"> —</w:t>
      </w:r>
      <w:r>
        <w:rPr>
          <w:rFonts w:ascii="Consolas" w:cs="Consolas" w:eastAsia="Consolas" w:hAnsi="Consolas"/>
          <w:sz w:val="19"/>
          <w:szCs w:val="19"/>
        </w:rPr>
        <w:t xml:space="preserve">"1234.50"</w:t>
      </w:r>
      <w:r>
        <w:t xml:space="preserve">—, con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string</w:t>
      </w:r>
      <w:r>
        <w:t xml:space="preserve"> como tipo TypeScript espejo. Y las cantidades de receta y de stock de insumo son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DECIMAL(12,3)</w:t>
      </w:r>
      <w:r>
        <w:t xml:space="preserve">, también como cadena, </w:t>
      </w:r>
      <w:r>
        <w:rPr>
          <w:b/>
          <w:bCs/>
        </w:rPr>
        <w:t xml:space="preserve">acompañadas siempre del código de la unidad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Tres decisiones, tres razones distintas.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2.4 </w:t>
      </w:r>
      <w:r>
        <w:rPr>
          <w:i/>
          <w:iCs/>
          <w:color w:val="5A6472"/>
          <w:sz w:val="18"/>
          <w:szCs w:val="18"/>
        </w:rPr>
        <w:t xml:space="preserve">— El importe de la base al cliente: el camino exacto y el camino roto.</w:t>
      </w:r>
    </w:p>
    <w:p>
      <w:pPr>
        <w:spacing w:after="140" w:line="300"/>
      </w:pPr>
      <w:r>
        <w:rPr>
          <w:b/>
          <w:bCs/>
        </w:rPr>
        <w:t xml:space="preserve">Por qué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Decimal</w:t>
      </w:r>
      <w:r>
        <w:rPr>
          <w:b/>
          <w:bCs/>
        </w:rPr>
        <w:t xml:space="preserve"> y no punto flotante.</w:t>
      </w:r>
      <w:r>
        <w:t xml:space="preserve"> El formato de punto flotante representa los números </w:t>
      </w:r>
      <w:r>
        <w:rPr>
          <w:b/>
          <w:bCs/>
        </w:rPr>
        <w:t xml:space="preserve">en base dos</w:t>
      </w:r>
      <w:r>
        <w:t xml:space="preserve">, y hay decimales que en base dos son periódicos. </w:t>
      </w:r>
      <w:r>
        <w:rPr>
          <w:rFonts w:ascii="Consolas" w:cs="Consolas" w:eastAsia="Consolas" w:hAnsi="Consolas"/>
          <w:sz w:val="19"/>
          <w:szCs w:val="19"/>
        </w:rPr>
        <w:t xml:space="preserve">0.1</w:t>
      </w:r>
      <w:r>
        <w:t xml:space="preserve"> es uno de ellos. Sumar importes en punto flotante </w:t>
      </w:r>
      <w:r>
        <w:rPr>
          <w:b/>
          <w:bCs/>
        </w:rPr>
        <w:t xml:space="preserve">acumula diferencias de centavos</w:t>
      </w:r>
      <w:r>
        <w:t xml:space="preserve"> que después no cierran contra la facturación.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 representa exactamente lo que se le da.</w:t>
      </w:r>
    </w:p>
    <w:p>
      <w:pPr>
        <w:spacing w:after="140" w:line="300"/>
      </w:pPr>
      <w:r>
        <w:rPr>
          <w:b/>
          <w:bCs/>
        </w:rPr>
        <w:t xml:space="preserve">Por qué viaja como cadena.</w:t>
      </w:r>
      <w:r>
        <w:t xml:space="preserve"> Porque JSON </w:t>
      </w:r>
      <w:r>
        <w:rPr>
          <w:b/>
          <w:bCs/>
        </w:rPr>
        <w:t xml:space="preserve">no distingue</w:t>
      </w:r>
      <w:r>
        <w:t xml:space="preserve"> entre un entero, un decimal y un punto flotante: tiene </w:t>
      </w:r>
      <w:r>
        <w:rPr>
          <w:b/>
          <w:bCs/>
        </w:rPr>
        <w:t xml:space="preserve">un solo tipo numérico</w:t>
      </w:r>
      <w:r>
        <w:t xml:space="preserve">. Si el importe viajara como número, el cliente lo convertiría a punto flotante al parsearlo, y el error aparecería del otro lado </w:t>
      </w:r>
      <w:r>
        <w:rPr>
          <w:b/>
          <w:bCs/>
        </w:rPr>
        <w:t xml:space="preserve">sin que el servidor pudiera hacer nada</w:t>
      </w:r>
      <w:r>
        <w:t xml:space="preserve">. Mandarlo como texto garantiza que llegue exactamente igual.</w:t>
      </w:r>
    </w:p>
    <w:p>
      <w:pPr>
        <w:spacing w:after="140" w:line="300"/>
      </w:pPr>
      <w:r>
        <w:rPr>
          <w:b/>
          <w:bCs/>
        </w:rPr>
        <w:t xml:space="preserve">Por qué la cantidad viaja con su unidad.</w:t>
      </w:r>
      <w:r>
        <w:t xml:space="preserve"> Un </w:t>
      </w:r>
      <w:r>
        <w:rPr>
          <w:rFonts w:ascii="Consolas" w:cs="Consolas" w:eastAsia="Consolas" w:hAnsi="Consolas"/>
          <w:sz w:val="19"/>
          <w:szCs w:val="19"/>
        </w:rPr>
        <w:t xml:space="preserve">"1.500"</w:t>
      </w:r>
      <w:r>
        <w:t xml:space="preserve"> </w:t>
      </w:r>
      <w:r>
        <w:rPr>
          <w:b/>
          <w:bCs/>
        </w:rPr>
        <w:t xml:space="preserve">no significa nada por sí solo</w:t>
      </w:r>
      <w:r>
        <w:t xml:space="preserve">: puede ser un kilo y medio o mil quinientos gramos. El TPI exige que la unidad acompañe al número siempre, y eso elimina una clase entera de errores.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El mejor ejemplo del módulo de una decisión que atraviesa los dos lados</w:t>
            </w:r>
          </w:p>
          <w:p>
            <w:pPr>
              <w:spacing w:after="110" w:line="290"/>
            </w:pPr>
            <w:r>
              <w:t xml:space="preserve">Vos declarás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Decimal</w:t>
            </w:r>
            <w:r>
              <w:t xml:space="preserve"> en el modelo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</w:t>
            </w:r>
            <w:r>
              <w:t xml:space="preserve"> en el schema. Tus compañeros del turno de frontend declaran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total: string</w:t>
            </w:r>
            <w:r>
              <w:t xml:space="preserve"> en TypeScript y </w:t>
            </w:r>
            <w:r>
              <w:rPr>
                <w:b/>
                <w:bCs/>
              </w:rPr>
              <w:t xml:space="preserve">tienen prohibido operar con ese valor</w:t>
            </w:r>
            <w:r>
              <w:t xml:space="preserve">. </w:t>
            </w:r>
            <w:r>
              <w:rPr>
                <w:b/>
                <w:bCs/>
              </w:rPr>
              <w:t xml:space="preserve">Es la misma decisión, tomada dos veces, por la misma razón.</w:t>
            </w:r>
          </w:p>
          <w:p>
            <w:pPr>
              <w:spacing w:after="110" w:line="290"/>
            </w:pPr>
            <w:r>
              <w:t xml:space="preserve">Y del lado de ellos hay un detalle que te va a interesar: el TPI dice que </w:t>
            </w:r>
            <w:r>
              <w:rPr>
                <w:b/>
                <w:bCs/>
              </w:rPr>
              <w:t xml:space="preserve">el garante de esa regla es el tipo de TypeScript</w:t>
            </w:r>
            <w:r>
              <w:t xml:space="preserve">, porque si dijera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number</w:t>
            </w:r>
            <w:r>
              <w:t xml:space="preserve"> el compilador dejaría escribir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 * cantidad</w:t>
            </w:r>
            <w:r>
              <w:t xml:space="preserve">. Diciendo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string</w:t>
            </w:r>
            <w:r>
              <w:t xml:space="preserve">, lo rechaza — </w:t>
            </w:r>
            <w:r>
              <w:rPr>
                <w:b/>
                <w:bCs/>
              </w:rPr>
              <w:t xml:space="preserve">no porque entienda de dinero, sino porque no se puede multiplicar texto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Fijate lo que eso significa: </w:t>
            </w:r>
            <w:r>
              <w:rPr>
                <w:b/>
                <w:bCs/>
              </w:rPr>
              <w:t xml:space="preserve">la restricción la impone el tipo, no la disciplina de quien escribe.</w:t>
            </w:r>
            <w:r>
              <w:t xml:space="preserve"> Y de este lado pasa igual: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Decimal</w:t>
            </w:r>
            <w:r>
              <w:t xml:space="preserve"> no te deja perder precisión aunque quieras.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2.8 — Los verbos y sus códigos</w:t>
      </w:r>
    </w:p>
    <w:p>
      <w:pPr>
        <w:spacing w:after="140" w:line="300"/>
      </w:pPr>
      <w:r>
        <w:t xml:space="preserve">El TPI declara en su sección 6.1 qué verbo se usa para qué, y hay una decisión que conviene destacar </w:t>
      </w:r>
      <w:r>
        <w:rPr>
          <w:b/>
          <w:bCs/>
        </w:rPr>
        <w:t xml:space="preserve">porque contradice lo que se enseña habitualmente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Lo que declara el TPI</w:t>
            </w:r>
          </w:p>
          <w:p>
            <w:pPr>
              <w:spacing w:after="110" w:line="29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</w:t>
            </w:r>
            <w:r>
              <w:t xml:space="preserve"> crea o ejecuta un comando,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</w:t>
            </w:r>
            <w:r>
              <w:t xml:space="preserve"> lee,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</w:t>
            </w:r>
            <w:r>
              <w:t xml:space="preserve"> borra.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PATCH</w:t>
            </w:r>
            <w:r>
              <w:rPr>
                <w:b/>
                <w:bCs/>
              </w:rPr>
              <w:t xml:space="preserve"> modifica de forma parcial y es el verbo de toda actualización. No se usa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PUT</w:t>
            </w:r>
            <w:r>
              <w:rPr>
                <w:b/>
                <w:bCs/>
              </w:rPr>
              <w:t xml:space="preserve">: ningún endpoint reemplaza el recurso completo.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La razón es coherente con la sección anterior.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PUT</w:t>
      </w:r>
      <w:r>
        <w:rPr>
          <w:b/>
          <w:bCs/>
        </w:rPr>
        <w:t xml:space="preserve"> significa «reemplazá el recurso por esto»</w:t>
      </w:r>
      <w:r>
        <w:t xml:space="preserve">, y por lo tanto exige mandarlo </w:t>
      </w:r>
      <w:r>
        <w:rPr>
          <w:b/>
          <w:bCs/>
        </w:rPr>
        <w:t xml:space="preserve">entero</w:t>
      </w:r>
      <w:r>
        <w:t xml:space="preserve">: si un campo falta, se borra. En una interfaz real casi nunca se manda todo, así que un </w:t>
      </w:r>
      <w:r>
        <w:rPr>
          <w:rFonts w:ascii="Consolas" w:cs="Consolas" w:eastAsia="Consolas" w:hAnsi="Consolas"/>
          <w:sz w:val="19"/>
          <w:szCs w:val="19"/>
        </w:rPr>
        <w:t xml:space="preserve">PUT</w:t>
      </w:r>
      <w:r>
        <w:t xml:space="preserve"> mal usado —mandando sólo lo que cambió— </w:t>
      </w:r>
      <w:r>
        <w:rPr>
          <w:b/>
          <w:bCs/>
        </w:rPr>
        <w:t xml:space="preserve">borra el resto</w:t>
      </w:r>
      <w:r>
        <w:t xml:space="preserve">. Es el mismo desastre del </w:t>
      </w:r>
      <w:r>
        <w:rPr>
          <w:rFonts w:ascii="Consolas" w:cs="Consolas" w:eastAsia="Consolas" w:hAnsi="Consolas"/>
          <w:sz w:val="19"/>
          <w:szCs w:val="19"/>
        </w:rPr>
        <w:t xml:space="preserve">model_dump()</w:t>
      </w:r>
      <w:r>
        <w:t xml:space="preserve"> sin argumentos, pero causado por el verbo.</w:t>
      </w:r>
    </w:p>
    <w:p>
      <w:pPr>
        <w:spacing w:after="140" w:line="300"/>
      </w:pPr>
      <w:r>
        <w:rPr>
          <w:b/>
          <w:bCs/>
        </w:rPr>
        <w:t xml:space="preserve">El TPI evita el problema quitando el verbo.</w:t>
      </w:r>
      <w:r>
        <w:t xml:space="preserve"> No es que esté prohibido por gusto: es que ese verbo tiene un filo que en este dominio no hace falta.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000"/>
        <w:gridCol w:w="1400"/>
        <w:gridCol w:w="46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1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Lectura exitosa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200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Creación exitosa</w:t>
            </w:r>
          </w:p>
        </w:tc>
        <w:tc>
          <w:tcPr>
            <w:tcW w:type="dxa" w:w="1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201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Location</w:t>
            </w:r>
            <w:r>
              <w:rPr>
                <w:sz w:val="19"/>
                <w:szCs w:val="19"/>
              </w:rPr>
              <w:t xml:space="preserve"> apuntando al recurso creado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Borrado exitoso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204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Sin cuerpo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Entrada inválida</w:t>
            </w:r>
          </w:p>
        </w:tc>
        <w:tc>
          <w:tcPr>
            <w:tcW w:type="dxa" w:w="1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422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de la sección 2.4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autenticado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401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«No sé quién sos»: falta la credencial o no vale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Autenticado sin permiso</w:t>
            </w:r>
          </w:p>
        </w:tc>
        <w:tc>
          <w:tcPr>
            <w:tcW w:type="dxa" w:w="1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403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«Sé quién sos y no te alcanza»: la credencial vale, el rol no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existe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404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Conflicto de estado</w:t>
            </w:r>
          </w:p>
        </w:tc>
        <w:tc>
          <w:tcPr>
            <w:tcW w:type="dxa" w:w="1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409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Por ejemplo, stock insuficiente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La distinción entre </w:t>
      </w:r>
      <w:r>
        <w:rPr>
          <w:rFonts w:ascii="Consolas" w:cs="Consolas" w:eastAsia="Consolas" w:hAnsi="Consolas"/>
          <w:sz w:val="19"/>
          <w:szCs w:val="19"/>
        </w:rPr>
        <w:t xml:space="preserve">401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403</w:t>
      </w:r>
      <w:r>
        <w:t xml:space="preserve"> merece énfasis porque </w:t>
      </w:r>
      <w:r>
        <w:rPr>
          <w:b/>
          <w:bCs/>
        </w:rPr>
        <w:t xml:space="preserve">se maltrata todo el tiempo</w:t>
      </w:r>
      <w:r>
        <w:t xml:space="preserve">. Un cliente que los trata igual </w:t>
      </w:r>
      <w:r>
        <w:rPr>
          <w:b/>
          <w:bCs/>
        </w:rPr>
        <w:t xml:space="preserve">manda al login a alguien que ya inició sesión</w:t>
      </w:r>
      <w:r>
        <w:t xml:space="preserve"> — y esa persona escribe bien su contraseña, entra, y vuelve a chocar con lo mismo, porque el problema nunca fue quién era.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Sobre el 201 hay un detalle que casi nadie pone y el TPI sí pide</w:t>
            </w:r>
          </w:p>
          <w:p>
            <w:pPr>
              <w:spacing w:after="110" w:line="290"/>
            </w:pPr>
            <w:r>
              <w:t xml:space="preserve">El encabezado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Location</w:t>
            </w:r>
            <w:r>
              <w:t xml:space="preserve">: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@app.post("/productos", status_code=201)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async def crear_producto(datos: ProductoCreate, response: Response):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producto = _crear(datos)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response.headers["Location"] = f"/api/v1/productos/{producto.id}"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return producto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¿Para qué sirve?</w:t>
            </w:r>
            <w:r>
              <w:t xml:space="preserve"> Para que el cliente sepa </w:t>
            </w:r>
            <w:r>
              <w:rPr>
                <w:b/>
                <w:bCs/>
              </w:rPr>
              <w:t xml:space="preserve">dónde quedó</w:t>
            </w:r>
            <w:r>
              <w:t xml:space="preserve"> lo que acaba de crear, sin tener que armar la URL por su cuenta adivinando el formato.</w:t>
            </w:r>
          </w:p>
          <w:p>
            <w:pPr>
              <w:spacing w:after="110" w:line="290"/>
            </w:pPr>
            <w:r>
              <w:t xml:space="preserve">Parece poco. Pero fijate el efecto: si mañana las rutas cambian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/productos/{id}</w:t>
            </w:r>
            <w:r>
              <w:t xml:space="preserve">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/catalogo/productos/{id}</w:t>
            </w:r>
            <w:r>
              <w:t xml:space="preserve">, </w:t>
            </w:r>
            <w:r>
              <w:rPr>
                <w:b/>
                <w:bCs/>
              </w:rPr>
              <w:t xml:space="preserve">un cliente que usa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Location</w:t>
            </w:r>
            <w:r>
              <w:rPr>
                <w:b/>
                <w:bCs/>
              </w:rPr>
              <w:t xml:space="preserve"> sigue funcionando. Uno que arma la URL a mano, no.</w:t>
            </w:r>
          </w:p>
          <w:p>
            <w:pPr>
              <w:spacing w:after="110" w:line="290"/>
            </w:pPr>
            <w:r>
              <w:t xml:space="preserve">Es el mismo principio de todo el capítulo: </w:t>
            </w:r>
            <w:r>
              <w:rPr>
                <w:b/>
                <w:bCs/>
              </w:rPr>
              <w:t xml:space="preserve">cuanto menos tenga que adivinar el cliente, menos se puede romper.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2.9 — Colecciones: envoltorio, paginación y ordenamiento</w:t>
      </w:r>
    </w:p>
    <w:p>
      <w:pPr>
        <w:spacing w:after="140" w:line="300"/>
      </w:pPr>
      <w:r>
        <w:t xml:space="preserve">Devolver una lista suelta funciona </w:t>
      </w:r>
      <w:r>
        <w:rPr>
          <w:b/>
          <w:bCs/>
        </w:rPr>
        <w:t xml:space="preserve">hasta que la lista crece</w:t>
      </w:r>
      <w:r>
        <w:t xml:space="preserve">. El TPI lo resuelve con una convención declarada: toda colección cuyo tamaño puede crecer con el uso devuelve el envoltorio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{ items, total, page, size, pages }</w:t>
      </w:r>
      <w:r>
        <w:t xml:space="preserve">.</w:t>
      </w:r>
    </w:p>
    <w:p>
      <w:pPr>
        <w:spacing w:after="140" w:line="300"/>
      </w:pPr>
      <w:r>
        <w:t xml:space="preserve">Los cuatro campos que acompañan a </w:t>
      </w:r>
      <w:r>
        <w:rPr>
          <w:rFonts w:ascii="Consolas" w:cs="Consolas" w:eastAsia="Consolas" w:hAnsi="Consolas"/>
          <w:sz w:val="19"/>
          <w:szCs w:val="19"/>
        </w:rPr>
        <w:t xml:space="preserve">items</w:t>
      </w:r>
      <w:r>
        <w:t xml:space="preserve"> son los que el cliente necesita para dibujar un paginador, </w:t>
      </w:r>
      <w:r>
        <w:rPr>
          <w:b/>
          <w:bCs/>
        </w:rPr>
        <w:t xml:space="preserve">y no se pueden deducir de la lista</w:t>
      </w:r>
      <w:r>
        <w:t xml:space="preserve">: cuántos hay en total, en qué página está, de qué tamaño, y cuántas páginas hay. Sin ellos, el cliente tiene una lista y ninguna forma de saber si hay más.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 de paginación</w:t>
            </w:r>
          </w:p>
        </w:tc>
        <w:tc>
          <w:tcPr>
            <w:tcW w:type="dxa" w:w="5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Tamaño por defecto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Tamaño máximo</w:t>
            </w:r>
          </w:p>
        </w:tc>
        <w:tc>
          <w:tcPr>
            <w:tcW w:type="dxa" w:w="5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Página máxima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pages</w:t>
            </w:r>
            <w:r>
              <w:rPr>
                <w:sz w:val="19"/>
                <w:szCs w:val="19"/>
              </w:rPr>
              <w:t xml:space="preserve"> de esa consulta; más allá responde </w:t>
            </w:r>
            <w:r>
              <w:rPr>
                <w:b/>
                <w:bCs/>
                <w:sz w:val="19"/>
                <w:szCs w:val="19"/>
              </w:rPr>
              <w:t xml:space="preserve">422</w:t>
            </w:r>
          </w:p>
        </w:tc>
      </w:tr>
      <w:tr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</w:t>
            </w:r>
          </w:p>
        </w:tc>
        <w:tc>
          <w:tcPr>
            <w:tcW w:type="dxa" w:w="5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Respeta los filtros activos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Dos de esas filas son decisiones y no detalles.</w:t>
      </w:r>
    </w:p>
    <w:p>
      <w:pPr>
        <w:spacing w:after="140" w:line="300"/>
      </w:pPr>
      <w:r>
        <w:rPr>
          <w:b/>
          <w:bCs/>
        </w:rPr>
        <w:t xml:space="preserve">El tamaño máximo existe para protegerse.</w:t>
      </w:r>
      <w:r>
        <w:t xml:space="preserve"> Sin él, un cliente puede pedir un millón de registros y el servidor </w:t>
      </w:r>
      <w:r>
        <w:rPr>
          <w:b/>
          <w:bCs/>
        </w:rPr>
        <w:t xml:space="preserve">intenta cumplir</w:t>
      </w:r>
      <w:r>
        <w:t xml:space="preserve">: arma la consulta, la trae a memoria, la serializa. No hace falta mala intención —alcanza con un error de tipeo— y </w:t>
      </w:r>
      <w:r>
        <w:rPr>
          <w:b/>
          <w:bCs/>
        </w:rPr>
        <w:t xml:space="preserve">el efecto es el mismo que un ataque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El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total</w:t>
      </w:r>
      <w:r>
        <w:rPr>
          <w:b/>
          <w:bCs/>
        </w:rPr>
        <w:t xml:space="preserve"> respeta los filtros.</w:t>
      </w:r>
      <w:r>
        <w:t xml:space="preserve"> Si hay un filtro por categoría, el total es el de esa categoría y no el de la tabla. Suena obvio y </w:t>
      </w:r>
      <w:r>
        <w:rPr>
          <w:b/>
          <w:bCs/>
        </w:rPr>
        <w:t xml:space="preserve">se equivoca seguido</w:t>
      </w:r>
      <w:r>
        <w:t xml:space="preserve">, porque calcular el total sin filtros es más fácil.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el bug del total sin filtrar, que nadie reporta como bug</w:t>
            </w:r>
          </w:p>
          <w:p>
            <w:pPr>
              <w:spacing w:after="110" w:line="290"/>
            </w:pPr>
            <w:r>
              <w:t xml:space="preserve">Porque </w:t>
            </w:r>
            <w:r>
              <w:rPr>
                <w:b/>
                <w:bCs/>
              </w:rPr>
              <w:t xml:space="preserve">el sistema no falla: miente despacio.</w:t>
            </w:r>
          </w:p>
          <w:p>
            <w:pPr>
              <w:spacing w:after="110" w:line="290"/>
            </w:pPr>
            <w:r>
              <w:t xml:space="preserve">El usuario filtra por «Empanadas», ve </w:t>
            </w:r>
            <w:r>
              <w:rPr>
                <w:b/>
                <w:bCs/>
              </w:rPr>
              <w:t xml:space="preserve">8 productos</w:t>
            </w:r>
            <w:r>
              <w:t xml:space="preserve"> en pantalla, y el paginador le dice </w:t>
            </w:r>
            <w:r>
              <w:rPr>
                <w:b/>
                <w:bCs/>
              </w:rPr>
              <w:t xml:space="preserve">«1 de 12 páginas»</w:t>
            </w:r>
            <w:r>
              <w:t xml:space="preserve">. Hace clic en la página 2 y no hay nada. Vuelve, prueba la 3, tampoco.</w:t>
            </w:r>
          </w:p>
          <w:p>
            <w:pPr>
              <w:spacing w:after="110" w:line="290"/>
            </w:pPr>
            <w:r>
              <w:t xml:space="preserve">No hay error, no hay excepción, no hay nada en los logs. Simplemente el paginador está contando </w:t>
            </w:r>
            <w:r>
              <w:rPr>
                <w:b/>
                <w:bCs/>
              </w:rPr>
              <w:t xml:space="preserve">los 240 productos de la tabla</w:t>
            </w:r>
            <w:r>
              <w:t xml:space="preserve"> en vez de los 8 que cumplen el filtro.</w:t>
            </w:r>
          </w:p>
          <w:p>
            <w:pPr>
              <w:spacing w:after="110" w:line="290"/>
            </w:pPr>
            <w:r>
              <w:t xml:space="preserve">La causa es siempre la misma y es la vía fácil: se arma la consulta </w:t>
            </w:r>
            <w:r>
              <w:rPr>
                <w:b/>
                <w:bCs/>
              </w:rPr>
              <w:t xml:space="preserve">con filtros</w:t>
            </w:r>
            <w:r>
              <w:t xml:space="preserve"> para traer los ítems, y el conteo se hace aparte </w:t>
            </w:r>
            <w:r>
              <w:rPr>
                <w:b/>
                <w:bCs/>
              </w:rPr>
              <w:t xml:space="preserve">sobre la tabla entera</w:t>
            </w:r>
            <w:r>
              <w:t xml:space="preserve"> porque es una línea más corta.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Regla: el conteo y la búsqueda salen de la misma consulta filtrada.</w:t>
            </w:r>
            <w:r>
              <w:t xml:space="preserve"> Si escribís dos consultas distintas, la segunda tiene que llevar </w:t>
            </w:r>
            <w:r>
              <w:rPr>
                <w:b/>
                <w:bCs/>
              </w:rPr>
              <w:t xml:space="preserve">exactamente</w:t>
            </w:r>
            <w:r>
              <w:t xml:space="preserve"> los mismos filtros que la primera.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Para el orden, el TPI usa una convención compacta: parámetro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sort</w:t>
      </w:r>
      <w:r>
        <w:t xml:space="preserve"> con el nombre del campo, </w:t>
      </w:r>
      <w:r>
        <w:rPr>
          <w:b/>
          <w:bCs/>
        </w:rPr>
        <w:t xml:space="preserve">precedido de un guion para orden descendente</w:t>
      </w:r>
      <w:r>
        <w:t xml:space="preserve">. Así, </w:t>
      </w:r>
      <w:r>
        <w:rPr>
          <w:rFonts w:ascii="Consolas" w:cs="Consolas" w:eastAsia="Consolas" w:hAnsi="Consolas"/>
          <w:sz w:val="19"/>
          <w:szCs w:val="19"/>
        </w:rPr>
        <w:t xml:space="preserve">sort=nombre</w:t>
      </w:r>
      <w:r>
        <w:t xml:space="preserve"> ordena ascendente y </w:t>
      </w:r>
      <w:r>
        <w:rPr>
          <w:rFonts w:ascii="Consolas" w:cs="Consolas" w:eastAsia="Consolas" w:hAnsi="Consolas"/>
          <w:sz w:val="19"/>
          <w:szCs w:val="19"/>
        </w:rPr>
        <w:t xml:space="preserve">sort=-creado_en</w:t>
      </w:r>
      <w:r>
        <w:t xml:space="preserve"> descendente. Y cada endpoint </w:t>
      </w:r>
      <w:r>
        <w:rPr>
          <w:b/>
          <w:bCs/>
        </w:rPr>
        <w:t xml:space="preserve">declara en su tabla qué campos son ordenables</w:t>
      </w:r>
      <w:r>
        <w:t xml:space="preserve"> — lo que no es un detalle de comodidad: </w:t>
      </w:r>
      <w:r>
        <w:rPr>
          <w:b/>
          <w:bCs/>
        </w:rPr>
        <w:t xml:space="preserve">aceptar un nombre de campo arbitrario del cliente y meterlo en una consulta es exactamente la puerta que la sección 2.13 estudia.</w:t>
      </w:r>
    </w:p>
    <w:p>
      <w:pPr>
        <w:spacing w:after="140" w:line="300"/>
      </w:pPr>
      <w:r>
        <w:t xml:space="preserve">Los parámetros de consulta se declaran como los demás, y por lo tanto </w:t>
      </w:r>
      <w:r>
        <w:rPr>
          <w:b/>
          <w:bCs/>
        </w:rPr>
        <w:t xml:space="preserve">se validan igual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@app.get("/productos", response_model=Pagina[ProductoPublic])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def listar_productos(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page: Annotated[int, Query(ge=1)] = 1,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size: Annotated[int, Query(ge=1, le=100)] = 20,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sort: Annotated[str | None, Query(pattern=r"^-?(nombre|precio|creado_en)$")] = None,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categoria_id: Annotated[int | None, Query(gt=0)] = None,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q: Annotated[str | None, Query(min_length=2, max_length=80)] = None,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Cinco decisiones en cinco líneas, y ninguna es cosmética: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El </w:t>
      </w:r>
      <w:r>
        <w:rPr>
          <w:rFonts w:ascii="Consolas" w:cs="Consolas" w:eastAsia="Consolas" w:hAnsi="Consolas"/>
          <w:sz w:val="19"/>
          <w:szCs w:val="19"/>
        </w:rPr>
        <w:t xml:space="preserve">le=100</w:t>
      </w:r>
      <w:r>
        <w:t xml:space="preserve"> </w:t>
      </w:r>
      <w:r>
        <w:rPr>
          <w:b/>
          <w:bCs/>
        </w:rPr>
        <w:t xml:space="preserve">es</w:t>
      </w:r>
      <w:r>
        <w:t xml:space="preserve"> el límite de tamaño de la tabla de arriba, </w:t>
      </w:r>
      <w:r>
        <w:rPr>
          <w:b/>
          <w:bCs/>
        </w:rPr>
        <w:t xml:space="preserve">declarado donde se aplica</w:t>
      </w:r>
      <w:r>
        <w:t xml:space="preserve"> — no en un comentario ni en un documento aparte.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El </w:t>
      </w:r>
      <w:r>
        <w:rPr>
          <w:rFonts w:ascii="Consolas" w:cs="Consolas" w:eastAsia="Consolas" w:hAnsi="Consolas"/>
          <w:sz w:val="19"/>
          <w:szCs w:val="19"/>
        </w:rPr>
        <w:t xml:space="preserve">pattern</w:t>
      </w:r>
      <w:r>
        <w:t xml:space="preserve"> del ordenamiento </w:t>
      </w:r>
      <w:r>
        <w:rPr>
          <w:b/>
          <w:bCs/>
        </w:rPr>
        <w:t xml:space="preserve">es</w:t>
      </w:r>
      <w:r>
        <w:t xml:space="preserve"> la lista blanca de campos ordenables: </w:t>
      </w:r>
      <w:r>
        <w:rPr>
          <w:b/>
          <w:bCs/>
        </w:rPr>
        <w:t xml:space="preserve">lo que no está en esa expresión no llega a la consulta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El </w:t>
      </w:r>
      <w:r>
        <w:rPr>
          <w:rFonts w:ascii="Consolas" w:cs="Consolas" w:eastAsia="Consolas" w:hAnsi="Consolas"/>
          <w:sz w:val="19"/>
          <w:szCs w:val="19"/>
        </w:rPr>
        <w:t xml:space="preserve">ge=1</w:t>
      </w:r>
      <w:r>
        <w:t xml:space="preserve"> de la página evita el cero y los negativos.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El mínimo de dos caracteres en la búsqueda evita que </w:t>
      </w:r>
      <w:r>
        <w:rPr>
          <w:b/>
          <w:bCs/>
        </w:rPr>
        <w:t xml:space="preserve">una sola letra recorra la tabla entera</w:t>
      </w:r>
      <w:r>
        <w:t xml:space="preserve">.</w:t>
      </w:r>
    </w:p>
    <w:p>
      <w:pPr>
        <w:spacing w:after="140" w:line="300"/>
      </w:pPr>
      <w:r>
        <w:t xml:space="preserve">Y fijate en algo: </w:t>
      </w:r>
      <w:r>
        <w:rPr>
          <w:b/>
          <w:bCs/>
        </w:rPr>
        <w:t xml:space="preserve">la lista blanca vive en el mismo lugar que la documentación.</w:t>
      </w:r>
      <w:r>
        <w:t xml:space="preserve"> Quien lea la especificación va a ver exactamente qué valores admite </w:t>
      </w:r>
      <w:r>
        <w:rPr>
          <w:rFonts w:ascii="Consolas" w:cs="Consolas" w:eastAsia="Consolas" w:hAnsi="Consolas"/>
          <w:sz w:val="19"/>
          <w:szCs w:val="19"/>
        </w:rPr>
        <w:t xml:space="preserve">sort</w:t>
      </w:r>
      <w:r>
        <w:t xml:space="preserve">, </w:t>
      </w:r>
      <w:r>
        <w:rPr>
          <w:b/>
          <w:bCs/>
        </w:rPr>
        <w:t xml:space="preserve">sin que nadie lo escriba aparte</w:t>
      </w:r>
      <w:r>
        <w:t xml:space="preserve"> — y por lo tanto sin que se pueda desactualizar.</w:t>
      </w:r>
    </w:p>
    <w:p>
      <w:pPr>
        <w:pStyle w:val="Heading1"/>
        <w:keepNext/>
        <w:spacing w:after="180" w:before="360"/>
      </w:pPr>
      <w:r>
        <w:t xml:space="preserve">2.10 — Errores: un formato normado</w:t>
      </w:r>
    </w:p>
    <w:p>
      <w:pPr>
        <w:spacing w:after="140" w:line="300"/>
      </w:pPr>
      <w:r>
        <w:t xml:space="preserve">El TPI </w:t>
      </w:r>
      <w:r>
        <w:rPr>
          <w:b/>
          <w:bCs/>
        </w:rPr>
        <w:t xml:space="preserve">no inventa</w:t>
      </w:r>
      <w:r>
        <w:t xml:space="preserve"> su formato de error: adopta uno normado — la </w:t>
      </w:r>
      <w:r>
        <w:rPr>
          <w:b/>
          <w:bCs/>
        </w:rPr>
        <w:t xml:space="preserve">RFC 9457</w:t>
      </w:r>
      <w:r>
        <w:t xml:space="preserve">, con </w:t>
      </w:r>
      <w:r>
        <w:rPr>
          <w:rFonts w:ascii="Consolas" w:cs="Consolas" w:eastAsia="Consolas" w:hAnsi="Consolas"/>
          <w:sz w:val="19"/>
          <w:szCs w:val="19"/>
        </w:rPr>
        <w:t xml:space="preserve">Content-Type: application/problem+json</w:t>
      </w:r>
      <w:r>
        <w:t xml:space="preserve">.</w:t>
      </w:r>
    </w:p>
    <w:p>
      <w:pPr>
        <w:spacing w:after="140" w:line="300"/>
      </w:pPr>
      <w:r>
        <w:t xml:space="preserve">Esa norma —</w:t>
      </w:r>
      <w:r>
        <w:rPr>
          <w:i/>
          <w:iCs/>
        </w:rPr>
        <w:t xml:space="preserve">Problem Details for HTTP APIs</w:t>
      </w:r>
      <w:r>
        <w:t xml:space="preserve">— define una forma estándar para describir un error, con campos como </w:t>
      </w:r>
      <w:r>
        <w:rPr>
          <w:rFonts w:ascii="Consolas" w:cs="Consolas" w:eastAsia="Consolas" w:hAnsi="Consolas"/>
          <w:sz w:val="19"/>
          <w:szCs w:val="19"/>
        </w:rPr>
        <w:t xml:space="preserve">type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title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detail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instance</w:t>
      </w:r>
      <w:r>
        <w:t xml:space="preserve">. Adoptarla tiene una ventaja concreta sobre inventar un formato propio: </w:t>
      </w:r>
      <w:r>
        <w:rPr>
          <w:b/>
          <w:bCs/>
        </w:rPr>
        <w:t xml:space="preserve">cualquier cliente que la conozca sabe leer el error sin documentación adicional.</w:t>
      </w:r>
    </w:p>
    <w:p>
      <w:pPr>
        <w:spacing w:after="140" w:line="300"/>
      </w:pPr>
      <w:r>
        <w:t xml:space="preserve">Sobre esa base, la sección 14.1 del TPI define un </w:t>
      </w:r>
      <w:r>
        <w:rPr>
          <w:b/>
          <w:bCs/>
        </w:rPr>
        <w:t xml:space="preserve">catálogo de códigos de error</w:t>
      </w:r>
      <w:r>
        <w:t xml:space="preserve">: una lista donde cada situación del dominio tiene </w:t>
      </w:r>
      <w:r>
        <w:rPr>
          <w:b/>
          <w:bCs/>
        </w:rPr>
        <w:t xml:space="preserve">un código estable</w:t>
      </w:r>
      <w:r>
        <w:t xml:space="preserve">, su código HTTP y la descripción de cuándo se produce.</w:t>
      </w:r>
    </w:p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Por qué ese catálogo importa para las dos mitades de la cursada</w:t>
      </w:r>
    </w:p>
    <w:p>
      <w:pPr>
        <w:spacing w:after="140" w:line="300"/>
      </w:pPr>
      <w:r>
        <w:rPr>
          <w:b/>
          <w:bCs/>
        </w:rPr>
        <w:t xml:space="preserve">El cliente puede distinguir casos por un código y no por el texto del mensaje.</w:t>
      </w:r>
      <w:r>
        <w:t xml:space="preserve"> Comparar textos es frágil —cambian, se corrigen, se traducen— y un código no. Con catálogo, el cliente puede mostrar una pantalla distinta ante «stock insuficiente» que ante «producto no disponible», y </w:t>
      </w:r>
      <w:r>
        <w:rPr>
          <w:b/>
          <w:bCs/>
        </w:rPr>
        <w:t xml:space="preserve">esa lógica no se rompe cuando alguien mejora la redacción del mensaje</w:t>
      </w:r>
      <w:r>
        <w:t xml:space="preserve">.</w:t>
      </w:r>
    </w:p>
    <w:p>
      <w:pPr>
        <w:spacing w:after="140" w:line="300"/>
      </w:pPr>
      <w:r>
        <w:t xml:space="preserve">Del lado del servidor, eso se traduce en una regla que el Capítulo 1 ya adelantó: </w:t>
      </w:r>
      <w:r>
        <w:rPr>
          <w:b/>
          <w:bCs/>
        </w:rPr>
        <w:t xml:space="preserve">el Router no traduce excepciones.</w:t>
      </w:r>
      <w:r>
        <w:t xml:space="preserve"> El Service lanza excepciones de dominio, y un manejador global —que la clase 8 estudia— las convierte al formato normado. La razón es la de siempre: </w:t>
      </w:r>
      <w:r>
        <w:rPr>
          <w:b/>
          <w:bCs/>
        </w:rPr>
        <w:t xml:space="preserve">con setenta endpoints traduciendo por su cuenta, basta con que uno difiera</w:t>
      </w:r>
      <w:r>
        <w:t xml:space="preserve">.</w:t>
      </w:r>
    </w:p>
    <w:p>
      <w:pPr>
        <w:spacing w:after="140" w:line="300"/>
      </w:pPr>
      <w:r>
        <w:t xml:space="preserve">En esta clase, sin base de datos todavía, alcanza con </w:t>
      </w:r>
      <w:r>
        <w:rPr>
          <w:rFonts w:ascii="Consolas" w:cs="Consolas" w:eastAsia="Consolas" w:hAnsi="Consolas"/>
          <w:sz w:val="19"/>
          <w:szCs w:val="19"/>
        </w:rPr>
        <w:t xml:space="preserve">HTTPException</w:t>
      </w:r>
      <w:r>
        <w:t xml:space="preserve"> para los casos simples: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@app.get("/productos/{producto_id}", response_model=ProductoPublic)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def obtener_producto(producto_id: int):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producto = _almacen.get(producto_id)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producto is None: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raise HTTPException(status_code=404, detail="Producto no encontrado")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producto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Eso es correcto para un CRUD en memoria y </w:t>
      </w:r>
      <w:r>
        <w:rPr>
          <w:b/>
          <w:bCs/>
        </w:rPr>
        <w:t xml:space="preserve">deja de serlo apenas aparece el Service</w:t>
      </w:r>
      <w:r>
        <w:t xml:space="preserve">. La razón se ve mejor con un ejemplo del dominio: cuando el Service de pedidos detecta que no hay stock, </w:t>
      </w:r>
      <w:r>
        <w:rPr>
          <w:b/>
          <w:bCs/>
        </w:rPr>
        <w:t xml:space="preserve">no puede lanzar una excepción HTTP, porque el Service no sabe que existe HTTP</w:t>
      </w:r>
      <w:r>
        <w:t xml:space="preserve">. La misma función la invoca una tarea del worker, </w:t>
      </w:r>
      <w:r>
        <w:rPr>
          <w:b/>
          <w:bCs/>
        </w:rPr>
        <w:t xml:space="preserve">donde no hay ninguna petición que responder</w:t>
      </w:r>
      <w:r>
        <w:t xml:space="preserve">.</w:t>
      </w:r>
    </w:p>
    <w:p>
      <w:pPr>
        <w:spacing w:after="140" w:line="300"/>
      </w:pPr>
      <w:r>
        <w:t xml:space="preserve">Lo que el Service lanza es una excepción de dominio: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StockInsuficiente(ErrorDeDominio):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codigo = "STOCK_INSUFICIENTE"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estado_http = 409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Y el manejador global la traduce </w:t>
      </w:r>
      <w:r>
        <w:rPr>
          <w:b/>
          <w:bCs/>
        </w:rPr>
        <w:t xml:space="preserve">una sola vez, para todos los endpoints</w:t>
      </w:r>
      <w:r>
        <w:t xml:space="preserve">. Esta clase usa </w:t>
      </w:r>
      <w:r>
        <w:rPr>
          <w:rFonts w:ascii="Consolas" w:cs="Consolas" w:eastAsia="Consolas" w:hAnsi="Consolas"/>
          <w:sz w:val="19"/>
          <w:szCs w:val="19"/>
        </w:rPr>
        <w:t xml:space="preserve">HTTPException</w:t>
      </w:r>
      <w:r>
        <w:t xml:space="preserve"> porque todavía no hay Service; </w:t>
      </w:r>
      <w:r>
        <w:rPr>
          <w:b/>
          <w:bCs/>
        </w:rPr>
        <w:t xml:space="preserve">la clase 8 hace el cambio y explica por qué era inevitable.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Una decisión que vale para cualquier API que escribas en tu vida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Un mensaje de error es para una persona. Un código de error es para un programa.</w:t>
            </w:r>
            <w:r>
              <w:t xml:space="preserve"> Hacen falta los dos y no se reemplazan.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t xml:space="preserve">Si sólo mandás </w:t>
            </w:r>
            <w:r>
              <w:rPr>
                <w:b/>
                <w:bCs/>
              </w:rPr>
              <w:t xml:space="preserve">mensaje</w:t>
            </w:r>
            <w:r>
              <w:t xml:space="preserve">, el cliente termina haciendo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(error.message.includes("stock"))</w:t>
            </w:r>
            <w:r>
              <w:t xml:space="preserve">, y eso </w:t>
            </w:r>
            <w:r>
              <w:rPr>
                <w:b/>
                <w:bCs/>
              </w:rPr>
              <w:t xml:space="preserve">se rompe el día que alguien corrige una tilde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t xml:space="preserve">Si sólo mandás </w:t>
            </w:r>
            <w:r>
              <w:rPr>
                <w:b/>
                <w:bCs/>
              </w:rPr>
              <w:t xml:space="preserve">código</w:t>
            </w:r>
            <w:r>
              <w:t xml:space="preserve">, la persona que abre las herramientas de desarrollo ve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ERR_4021</w:t>
            </w:r>
            <w:r>
              <w:t xml:space="preserve"> y no sabe qué pasó.</w:t>
            </w:r>
          </w:p>
          <w:p>
            <w:pPr>
              <w:spacing w:after="110" w:line="290"/>
            </w:pPr>
            <w:r>
              <w:t xml:space="preserve">Y hay un tercer nivel que casi nadie pone y es el que más ayuda: </w:t>
            </w:r>
            <w:r>
              <w:rPr>
                <w:b/>
                <w:bCs/>
              </w:rPr>
              <w:t xml:space="preserve">qué puede hacer el cliente al respecto.</w:t>
            </w:r>
            <w:r>
              <w:t xml:space="preserve"> No es lo mismo «no hay stock» —esperá o cambiá el producto— que «el pedido ya fue entregado» —no hay nada que hacer—. Esa distinción es la que permite, del otro lado, </w:t>
            </w:r>
            <w:r>
              <w:rPr>
                <w:b/>
                <w:bCs/>
              </w:rPr>
              <w:t xml:space="preserve">mostrar un botón de reintentar o no mostrarlo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2.11 — Observabilidad: el identificador de petición</w:t>
      </w:r>
    </w:p>
    <w:p>
      <w:pPr>
        <w:spacing w:after="140" w:line="300"/>
      </w:pPr>
      <w:r>
        <w:t xml:space="preserve">El TPI declara una convención que </w:t>
      </w:r>
      <w:r>
        <w:rPr>
          <w:b/>
          <w:bCs/>
        </w:rPr>
        <w:t xml:space="preserve">parece menor y resuelve un problema grande</w:t>
      </w:r>
      <w:r>
        <w:t xml:space="preserve">: todas las respuestas llevan el encabezado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X-Request-Id</w:t>
      </w:r>
      <w:r>
        <w:t xml:space="preserve">, que también aparece en </w:t>
      </w:r>
      <w:r>
        <w:rPr>
          <w:b/>
          <w:bCs/>
        </w:rPr>
        <w:t xml:space="preserve">cada línea de log</w:t>
      </w:r>
      <w:r>
        <w:t xml:space="preserve"> de esa petición </w:t>
      </w:r>
      <w:r>
        <w:rPr>
          <w:b/>
          <w:bCs/>
        </w:rPr>
        <w:t xml:space="preserve">y viaja hasta las tareas que la petición encoló</w:t>
      </w:r>
      <w:r>
        <w:t xml:space="preserve">.</w:t>
      </w:r>
    </w:p>
    <w:p>
      <w:pPr>
        <w:spacing w:after="140" w:line="300"/>
      </w:pPr>
      <w:r>
        <w:t xml:space="preserve">El problema que resuelve es concreto. Un usuario reporta que algo falló. En los registros del servidor hay </w:t>
      </w:r>
      <w:r>
        <w:rPr>
          <w:b/>
          <w:bCs/>
        </w:rPr>
        <w:t xml:space="preserve">miles de líneas de decenas de peticiones simultáneas</w:t>
      </w:r>
      <w:r>
        <w:t xml:space="preserve">, y sin un identificador </w:t>
      </w:r>
      <w:r>
        <w:rPr>
          <w:b/>
          <w:bCs/>
        </w:rPr>
        <w:t xml:space="preserve">no hay forma de saber cuáles corresponden a la suya</w:t>
      </w:r>
      <w:r>
        <w:t xml:space="preserve">. Es buscar una conversación en una grabación de un salón lleno de gente hablando.</w:t>
      </w:r>
    </w:p>
    <w:p>
      <w:pPr>
        <w:spacing w:after="140" w:line="300"/>
      </w:pPr>
      <w:r>
        <w:t xml:space="preserve">Con un identificador que viaja en la respuesta, ese usuario —o el frontend, que lo puede registrar— aporta </w:t>
      </w:r>
      <w:r>
        <w:rPr>
          <w:b/>
          <w:bCs/>
        </w:rPr>
        <w:t xml:space="preserve">un dato</w:t>
      </w:r>
      <w:r>
        <w:t xml:space="preserve"> que permite filtrar los registros y ver </w:t>
      </w:r>
      <w:r>
        <w:rPr>
          <w:b/>
          <w:bCs/>
        </w:rPr>
        <w:t xml:space="preserve">sólo esa petición</w:t>
      </w:r>
      <w:r>
        <w:t xml:space="preserve">, de punta a punta.</w:t>
      </w:r>
    </w:p>
    <w:p>
      <w:pPr>
        <w:spacing w:after="140" w:line="300"/>
      </w:pPr>
      <w:r>
        <w:t xml:space="preserve">Y la última parte es la que más vale: </w:t>
      </w:r>
      <w:r>
        <w:rPr>
          <w:b/>
          <w:bCs/>
        </w:rPr>
        <w:t xml:space="preserve">el identificador viaja hasta las tareas.</w:t>
      </w:r>
      <w:r>
        <w:t xml:space="preserve"> Una petición puede encolar trabajo que se ejecuta minutos después </w:t>
      </w:r>
      <w:r>
        <w:rPr>
          <w:b/>
          <w:bCs/>
        </w:rPr>
        <w:t xml:space="preserve">en otro proceso</w:t>
      </w:r>
      <w:r>
        <w:t xml:space="preserve">; sin ese arrastre, un error en el worker es </w:t>
      </w:r>
      <w:r>
        <w:rPr>
          <w:b/>
          <w:bCs/>
        </w:rPr>
        <w:t xml:space="preserve">imposible de atar a lo que lo originó</w:t>
      </w:r>
      <w:r>
        <w:t xml:space="preserve">. Es la regla </w:t>
      </w:r>
      <w:r>
        <w:rPr>
          <w:b/>
          <w:bCs/>
        </w:rPr>
        <w:t xml:space="preserve">TB-06</w:t>
      </w:r>
      <w:r>
        <w:t xml:space="preserve">, que la clase 8 desarrolla.</w:t>
      </w:r>
    </w:p>
    <w:p>
      <w:pPr>
        <w:pStyle w:val="Heading1"/>
        <w:keepNext/>
        <w:spacing w:after="180" w:before="360"/>
      </w:pPr>
      <w:r>
        <w:t xml:space="preserve">2.12 — Herramientas de diagnóstico</w:t>
      </w:r>
    </w:p>
    <w:p>
      <w:pPr>
        <w:spacing w:after="140" w:line="300"/>
      </w:pPr>
      <w:r>
        <w:rPr>
          <w:b/>
          <w:bCs/>
        </w:rPr>
        <w:t xml:space="preserve">La documentación interactiva</w:t>
      </w:r>
      <w:r>
        <w:t xml:space="preserve"> vuelve a ser la herramienta principal, y ahora con más para mirar: cada endpoint muestra el schema de entrada </w:t>
      </w:r>
      <w:r>
        <w:rPr>
          <w:b/>
          <w:bCs/>
        </w:rPr>
        <w:t xml:space="preserve">con sus restricciones</w:t>
      </w:r>
      <w:r>
        <w:t xml:space="preserve">, el de salida, y los códigos de error posibles. Ejecutar desde ahí con datos inválidos es </w:t>
      </w:r>
      <w:r>
        <w:rPr>
          <w:b/>
          <w:bCs/>
        </w:rPr>
        <w:t xml:space="preserve">la forma más rápida</w:t>
      </w:r>
      <w:r>
        <w:t xml:space="preserve"> de verificar que la validación hace lo que se espera.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2.5 </w:t>
      </w:r>
      <w:r>
        <w:rPr>
          <w:i/>
          <w:iCs/>
          <w:color w:val="5A6472"/>
          <w:sz w:val="18"/>
          <w:szCs w:val="18"/>
        </w:rPr>
        <w:t xml:space="preserve">— Un 422 y su detalle en la documentación interactiva: tres errores de una sola vez.</w:t>
      </w:r>
    </w:p>
    <w:p>
      <w:pPr>
        <w:spacing w:after="140" w:line="300"/>
      </w:pPr>
      <w:r>
        <w:rPr>
          <w:b/>
          <w:bCs/>
        </w:rPr>
        <w:t xml:space="preserve">La especificación en crudo</w:t>
      </w:r>
      <w:r>
        <w:t xml:space="preserve"> es lo que hay que abrir cuando el frontend reporta un desajuste. </w:t>
      </w:r>
      <w:r>
        <w:rPr>
          <w:b/>
          <w:bCs/>
        </w:rPr>
        <w:t xml:space="preserve">Es el contrato, y la discusión se resuelve ahí</w:t>
      </w:r>
      <w:r>
        <w:t xml:space="preserve"> — no por chat.</w:t>
      </w:r>
    </w:p>
    <w:p>
      <w:pPr>
        <w:spacing w:after="70"/>
      </w:pP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29590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2.6 </w:t>
      </w:r>
      <w:r>
        <w:rPr>
          <w:i/>
          <w:iCs/>
          <w:color w:val="5A6472"/>
          <w:sz w:val="18"/>
          <w:szCs w:val="18"/>
        </w:rPr>
        <w:t xml:space="preserve">— Del modelo a la especificación: cómo se traduce cada restricción que declaraste.</w:t>
      </w:r>
    </w:p>
    <w:p>
      <w:pPr>
        <w:spacing w:after="140" w:line="300"/>
      </w:pPr>
      <w:r>
        <w:rPr>
          <w:b/>
          <w:bCs/>
        </w:rPr>
        <w:t xml:space="preserve">El propio modelo, en una consola de Python</w:t>
      </w:r>
      <w:r>
        <w:t xml:space="preserve">, es la forma más rápida de probar una validación </w:t>
      </w:r>
      <w:r>
        <w:rPr>
          <w:b/>
          <w:bCs/>
        </w:rPr>
        <w:t xml:space="preserve">sin levantar el servidor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&gt;&gt;&gt; ProductoCreate.model_validate({"nombre": "", "precio": "-1"})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ValidationError: 2 validation errors for ProductoCreate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Dos errores, no uno:</w:t>
      </w:r>
      <w:r>
        <w:t xml:space="preserve"> la validación reporta todo lo que encuentra. Y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model_json_schema()</w:t>
      </w:r>
      <w:r>
        <w:t xml:space="preserve"> devuelve el esquema del modelo, que es </w:t>
      </w:r>
      <w:r>
        <w:rPr>
          <w:b/>
          <w:bCs/>
        </w:rPr>
        <w:t xml:space="preserve">literalmente</w:t>
      </w:r>
      <w:r>
        <w:t xml:space="preserve"> lo que aparece en la especificación — útil para verificar que una restricción quedó declarada donde se pensaba.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probá tus modelos en la consola antes de levantar el servidor</w:t>
            </w:r>
          </w:p>
          <w:p>
            <w:pPr>
              <w:spacing w:after="110" w:line="290"/>
            </w:pPr>
            <w:r>
              <w:t xml:space="preserve">Es un hábito que te va a servir toda la carrera y que casi nadie adopta.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&gt;&gt;&gt; from app.schemas import ProductoCreate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&gt;&gt;&gt; ProductoCreate.model_validate({"nombre": "Milanesa", "precio": "4750.00",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...                                "categoria_id": 3})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ProductoCreate(nombre='Milanesa', precio=Decimal('4750.00'), categoria_id=3)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t xml:space="preserve">Fijate lo que ganaste: </w:t>
            </w:r>
            <w:r>
              <w:rPr>
                <w:b/>
                <w:bCs/>
              </w:rPr>
              <w:t xml:space="preserve">el ciclo de prueba pasó de «levantar el servidor, abrir el navegador, armar el cuerpo, mandar» a una línea.</w:t>
            </w:r>
          </w:p>
          <w:p>
            <w:pPr>
              <w:spacing w:after="110" w:line="290"/>
            </w:pPr>
            <w:r>
              <w:t xml:space="preserve">Y hay algo más importante que la velocidad. Un modelo se puede probar </w:t>
            </w:r>
            <w:r>
              <w:rPr>
                <w:b/>
                <w:bCs/>
              </w:rPr>
              <w:t xml:space="preserve">sin FastAPI, sin servidor y sin red</w:t>
            </w:r>
            <w:r>
              <w:t xml:space="preserve">, porque es una clase común de Python. Eso significa que </w:t>
            </w:r>
            <w:r>
              <w:rPr>
                <w:b/>
                <w:bCs/>
              </w:rPr>
              <w:t xml:space="preserve">también se puede testear así</w:t>
            </w:r>
            <w:r>
              <w:t xml:space="preserve">, y los tests de tus schemas van a correr en milisegundos.</w:t>
            </w:r>
          </w:p>
          <w:p>
            <w:pPr>
              <w:spacing w:after="110" w:line="290"/>
            </w:pPr>
            <w:r>
              <w:t xml:space="preserve">Es la misma idea de la actividad 8 que viste en la clase 1: </w:t>
            </w:r>
            <w:r>
              <w:rPr>
                <w:b/>
                <w:bCs/>
              </w:rPr>
              <w:t xml:space="preserve">lo que no depende de nada se prueba solo.</w:t>
            </w:r>
            <w:r>
              <w:t xml:space="preserve"> Tus schemas no dependen de nada. Aprovechalo.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EXPERIMENTO — el de esta clase se hace de a dos</w:t>
            </w:r>
          </w:p>
          <w:p>
            <w:pPr>
              <w:spacing w:after="110" w:line="290"/>
            </w:pPr>
            <w:r>
              <w:t xml:space="preserve">Demuestra por qué el contrato importa. Cinco pasos y un sexto que es el que cuenta: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Uno.</w:t>
            </w:r>
            <w:r>
              <w:t xml:space="preserve"> Escribí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ProductoCreate</w:t>
            </w:r>
            <w:r>
              <w:t xml:space="preserve"> con sus restricciones y levantá el proyecto.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Dos.</w:t>
            </w:r>
            <w:r>
              <w:t xml:space="preserve"> Abrí la documentación interactiva y </w:t>
            </w:r>
            <w:r>
              <w:rPr>
                <w:b/>
                <w:bCs/>
              </w:rPr>
              <w:t xml:space="preserve">mandá cinco cuerpos inválidos distintos</w:t>
            </w:r>
            <w:r>
              <w:t xml:space="preserve">: nombre vacío, precio negativo, precio con tres decimales, categoría cero, y </w:t>
            </w:r>
            <w:r>
              <w:rPr>
                <w:b/>
                <w:bCs/>
              </w:rPr>
              <w:t xml:space="preserve">un campo de más que no existe en el modelo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Tres.</w:t>
            </w:r>
            <w:r>
              <w:t xml:space="preserve"> Anotá qué respondió cada uno. </w:t>
            </w:r>
            <w:r>
              <w:rPr>
                <w:b/>
                <w:bCs/>
              </w:rPr>
              <w:t xml:space="preserve">Fijate especialmente en el último.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Cuatro.</w:t>
            </w:r>
            <w:r>
              <w:t xml:space="preserve"> Ahora mandá </w:t>
            </w:r>
            <w:r>
              <w:rPr>
                <w:b/>
                <w:bCs/>
              </w:rPr>
              <w:t xml:space="preserve">dos errores a la vez</w:t>
            </w:r>
            <w:r>
              <w:t xml:space="preserve"> y contá cuántos te reporta.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Cinco.</w:t>
            </w:r>
            <w:r>
              <w:t xml:space="preserve"> Cinco validaciones que no escribiste, y un cuerpo de error que dice exactamente qué falló en cada caso.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Seis, y es el que importa: pasale la URL de la documentación a alguien del turno de frontend y pedile que arme el cuerpo correcto sin que le expliques nada.</w:t>
            </w:r>
          </w:p>
          <w:p>
            <w:pPr>
              <w:spacing w:after="110" w:line="290"/>
            </w:pPr>
            <w:r>
              <w:t xml:space="preserve">Si puede hacerlo, tu contrato está bien. </w:t>
            </w:r>
            <w:r>
              <w:rPr>
                <w:b/>
                <w:bCs/>
              </w:rPr>
              <w:t xml:space="preserve">Si tiene que preguntarte algo, eso que te preguntó es lo que falta declarar</w:t>
            </w:r>
            <w:r>
              <w:t xml:space="preserve"> — y es mejor descubrirlo hoy que en la semana de integración.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2.13 — Seguridad y evolución</w:t>
      </w:r>
    </w:p>
    <w:p>
      <w:pPr>
        <w:spacing w:after="140" w:line="300"/>
      </w:pPr>
      <w:r>
        <w:t xml:space="preserve">Tres consideraciones cierran el capítulo, y las tres son la misma idea vista desde ángulos distintos: </w:t>
      </w:r>
      <w:r>
        <w:rPr>
          <w:b/>
          <w:bCs/>
        </w:rPr>
        <w:t xml:space="preserve">lo que el sistema no te deja hacer mal vale más que lo que confía en que hagas bien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consideración</w:t>
            </w:r>
          </w:p>
        </w:tc>
        <w:tc>
          <w:tcPr>
            <w:tcW w:type="dxa" w:w="6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es de seguridad y no de estilo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modelo de salida es un control, no una comodidad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response_model</w:t>
            </w:r>
            <w:r>
              <w:rPr>
                <w:sz w:val="19"/>
                <w:szCs w:val="19"/>
              </w:rPr>
              <w:t xml:space="preserve"> filtra lo que sale </w:t>
            </w:r>
            <w:r>
              <w:rPr>
                <w:b/>
                <w:bCs/>
                <w:sz w:val="19"/>
                <w:szCs w:val="19"/>
              </w:rPr>
              <w:t xml:space="preserve">aunque el objeto traiga de más</w:t>
            </w:r>
            <w:r>
              <w:rPr>
                <w:sz w:val="19"/>
                <w:szCs w:val="19"/>
              </w:rPr>
              <w:t xml:space="preserve">. Sin él, cada campo que alguien agregue al modelo de datos </w:t>
            </w:r>
            <w:r>
              <w:rPr>
                <w:b/>
                <w:bCs/>
                <w:sz w:val="19"/>
                <w:szCs w:val="19"/>
              </w:rPr>
              <w:t xml:space="preserve">empieza a viajar al cliente el día que se agrega</w:t>
            </w:r>
            <w:r>
              <w:rPr>
                <w:sz w:val="19"/>
                <w:szCs w:val="19"/>
              </w:rPr>
              <w:t xml:space="preserve">, sin que nadie lo decida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Los campos que el cliente no debería fijar no van en el modelo de entrada</w:t>
            </w:r>
          </w:p>
        </w:tc>
        <w:tc>
          <w:tcPr>
            <w:tcW w:type="dxa" w:w="6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 el mismo principio del lado contrario: si el modelo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</w:t>
            </w:r>
            <w:r>
              <w:rPr>
                <w:sz w:val="19"/>
                <w:szCs w:val="19"/>
              </w:rPr>
              <w:t xml:space="preserve"> incluye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es_administrador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el cliente lo puede mandar</w:t>
            </w:r>
            <w:r>
              <w:rPr>
                <w:sz w:val="19"/>
                <w:szCs w:val="19"/>
              </w:rPr>
              <w:t xml:space="preserve">. Y no hace falta que la interfaz lo ofrezca: alcanza con </w:t>
            </w:r>
            <w:r>
              <w:rPr>
                <w:b/>
                <w:bCs/>
                <w:sz w:val="19"/>
                <w:szCs w:val="19"/>
              </w:rPr>
              <w:t xml:space="preserve">emitir la petición a mano</w:t>
            </w:r>
            <w:r>
              <w:rPr>
                <w:sz w:val="19"/>
                <w:szCs w:val="19"/>
              </w:rPr>
              <w:t xml:space="preserve">, que es exactamente lo que hace quien quiere atacar el sistema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Un parámetro que nombra un campo de la base es una superficie de ataque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ordenamiento de la sección 2.9 recibe un nombre de campo </w:t>
            </w:r>
            <w:r>
              <w:rPr>
                <w:b/>
                <w:bCs/>
                <w:sz w:val="19"/>
                <w:szCs w:val="19"/>
              </w:rPr>
              <w:t xml:space="preserve">del cliente</w:t>
            </w:r>
            <w:r>
              <w:rPr>
                <w:sz w:val="19"/>
                <w:szCs w:val="19"/>
              </w:rPr>
              <w:t xml:space="preserve">; si ese nombre se interpola en una consulta sin validar contra una lista blanca, </w:t>
            </w:r>
            <w:r>
              <w:rPr>
                <w:b/>
                <w:bCs/>
                <w:sz w:val="19"/>
                <w:szCs w:val="19"/>
              </w:rPr>
              <w:t xml:space="preserve">se abre la puerta a una inyección</w:t>
            </w:r>
            <w:r>
              <w:rPr>
                <w:sz w:val="19"/>
                <w:szCs w:val="19"/>
              </w:rPr>
              <w:t xml:space="preserve">. Por eso el TPI exige que cada endpoint declare qué campos son ordenables: </w:t>
            </w:r>
            <w:r>
              <w:rPr>
                <w:b/>
                <w:bCs/>
                <w:sz w:val="19"/>
                <w:szCs w:val="19"/>
              </w:rPr>
              <w:t xml:space="preserve">la lista blanca no es documentación, es la defensa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Sobre la evolución, dos observaciones. </w:t>
      </w:r>
      <w:r>
        <w:rPr>
          <w:b/>
          <w:bCs/>
        </w:rPr>
        <w:t xml:space="preserve">La primera:</w:t>
      </w:r>
      <w:r>
        <w:t xml:space="preserve"> el formato de error adoptado —la RFC 9457— es de 2023 y reemplazó a una norma anterior de 2016. Elegir un estándar en lugar de un formato propio significa que </w:t>
      </w:r>
      <w:r>
        <w:rPr>
          <w:b/>
          <w:bCs/>
        </w:rPr>
        <w:t xml:space="preserve">el sistema se beneficia de esa evolución sin cambiar nada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La segunda:</w:t>
      </w:r>
      <w:r>
        <w:t xml:space="preserve"> la validación declarativa </w:t>
      </w:r>
      <w:r>
        <w:rPr>
          <w:b/>
          <w:bCs/>
        </w:rPr>
        <w:t xml:space="preserve">está corriéndose hacia los bordes en todo el ecosistema</w:t>
      </w:r>
      <w:r>
        <w:t xml:space="preserve">. El mismo enfoque que acá valida una petición HTTP se usa para validar configuración, mensajes de una cola y respuestas de servicios externos. </w:t>
      </w:r>
      <w:r>
        <w:rPr>
          <w:b/>
          <w:bCs/>
        </w:rPr>
        <w:t xml:space="preserve">Lo que se aprende en esta clase no es específico de la web.</w:t>
      </w:r>
    </w:p>
    <w:p>
      <w:pPr>
        <w:pStyle w:val="Heading1"/>
        <w:keepNext/>
        <w:spacing w:after="180" w:before="360"/>
      </w:pPr>
      <w:r>
        <w:t xml:space="preserve">2.14 — Verificación: el checklist honesto</w:t>
      </w:r>
    </w:p>
    <w:p>
      <w:pPr>
        <w:spacing w:after="140" w:line="300"/>
      </w:pPr>
      <w:r>
        <w:t xml:space="preserve">Nueve comprobaciones. Si las nueve te salen, la clase la entendiste.</w:t>
      </w:r>
    </w:p>
    <w:p>
      <w:pPr>
        <w:spacing w:after="70"/>
      </w:pP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Escribir un modelo con </w:t>
      </w:r>
      <w:r>
        <w:rPr>
          <w:b/>
          <w:bCs/>
        </w:rPr>
        <w:t xml:space="preserve">cinco restricciones distintas</w:t>
      </w:r>
      <w:r>
        <w:t xml:space="preserve"> y verificar cada una con un valor que la viole. </w:t>
      </w:r>
      <w:r>
        <w:rPr>
          <w:i/>
          <w:iCs/>
        </w:rPr>
        <w:t xml:space="preserve">(2.3)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Provocar un </w:t>
      </w:r>
      <w:r>
        <w:rPr>
          <w:rFonts w:ascii="Consolas" w:cs="Consolas" w:eastAsia="Consolas" w:hAnsi="Consolas"/>
          <w:sz w:val="19"/>
          <w:szCs w:val="19"/>
        </w:rPr>
        <w:t xml:space="preserve">422</w:t>
      </w:r>
      <w:r>
        <w:t xml:space="preserve"> y </w:t>
      </w:r>
      <w:r>
        <w:rPr>
          <w:b/>
          <w:bCs/>
        </w:rPr>
        <w:t xml:space="preserve">leer los cuatro campos</w:t>
      </w:r>
      <w:r>
        <w:t xml:space="preserve"> de su detalle, explicando qué aporta cada uno. </w:t>
      </w:r>
      <w:r>
        <w:rPr>
          <w:i/>
          <w:iCs/>
        </w:rPr>
        <w:t xml:space="preserve">(2.4)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Mandar </w:t>
      </w:r>
      <w:r>
        <w:rPr>
          <w:b/>
          <w:bCs/>
        </w:rPr>
        <w:t xml:space="preserve">dos errores en la misma petición</w:t>
      </w:r>
      <w:r>
        <w:t xml:space="preserve"> y verificar que se reportan los dos. </w:t>
      </w:r>
      <w:r>
        <w:rPr>
          <w:i/>
          <w:iCs/>
        </w:rPr>
        <w:t xml:space="preserve">(2.4)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Escribir los </w:t>
      </w:r>
      <w:r>
        <w:rPr>
          <w:b/>
          <w:bCs/>
        </w:rPr>
        <w:t xml:space="preserve">tres modelos segregados</w:t>
      </w:r>
      <w:r>
        <w:t xml:space="preserve"> de una entidad y justificar </w:t>
      </w:r>
      <w:r>
        <w:rPr>
          <w:b/>
          <w:bCs/>
        </w:rPr>
        <w:t xml:space="preserve">campo por campo</w:t>
      </w:r>
      <w:r>
        <w:t xml:space="preserve"> por qué está o no está en cada uno. </w:t>
      </w:r>
      <w:r>
        <w:rPr>
          <w:i/>
          <w:iCs/>
        </w:rPr>
        <w:t xml:space="preserve">(2.5)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Implementar una actualización parcial con </w:t>
      </w:r>
      <w:r>
        <w:rPr>
          <w:rFonts w:ascii="Consolas" w:cs="Consolas" w:eastAsia="Consolas" w:hAnsi="Consolas"/>
          <w:sz w:val="19"/>
          <w:szCs w:val="19"/>
        </w:rPr>
        <w:t xml:space="preserve">exclude_unset=True</w:t>
      </w:r>
      <w:r>
        <w:t xml:space="preserve">, y </w:t>
      </w:r>
      <w:r>
        <w:rPr>
          <w:b/>
          <w:bCs/>
        </w:rPr>
        <w:t xml:space="preserve">demostrar el bug</w:t>
      </w:r>
      <w:r>
        <w:t xml:space="preserve"> que aparece sin ese argumento. </w:t>
      </w:r>
      <w:r>
        <w:rPr>
          <w:i/>
          <w:iCs/>
        </w:rPr>
        <w:t xml:space="preserve">(2.6)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Declarar un importe como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 y verificar que </w:t>
      </w:r>
      <w:r>
        <w:rPr>
          <w:b/>
          <w:bCs/>
        </w:rPr>
        <w:t xml:space="preserve">sale como cadena</w:t>
      </w:r>
      <w:r>
        <w:t xml:space="preserve"> en el JSON. </w:t>
      </w:r>
      <w:r>
        <w:rPr>
          <w:i/>
          <w:iCs/>
        </w:rPr>
        <w:t xml:space="preserve">(2.7)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Implementar el envoltorio de colección con paginación, y verificar que el </w:t>
      </w:r>
      <w:r>
        <w:rPr>
          <w:rFonts w:ascii="Consolas" w:cs="Consolas" w:eastAsia="Consolas" w:hAnsi="Consolas"/>
          <w:sz w:val="19"/>
          <w:szCs w:val="19"/>
        </w:rPr>
        <w:t xml:space="preserve">total</w:t>
      </w:r>
      <w:r>
        <w:t xml:space="preserve"> </w:t>
      </w:r>
      <w:r>
        <w:rPr>
          <w:b/>
          <w:bCs/>
        </w:rPr>
        <w:t xml:space="preserve">respeta un filtro activo</w:t>
      </w:r>
      <w:r>
        <w:t xml:space="preserve">. </w:t>
      </w:r>
      <w:r>
        <w:rPr>
          <w:i/>
          <w:iCs/>
        </w:rPr>
        <w:t xml:space="preserve">(2.9)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Pedir una página </w:t>
      </w:r>
      <w:r>
        <w:rPr>
          <w:b/>
          <w:bCs/>
        </w:rPr>
        <w:t xml:space="preserve">más allá del máximo</w:t>
      </w:r>
      <w:r>
        <w:t xml:space="preserve"> y verificar que responde </w:t>
      </w:r>
      <w:r>
        <w:rPr>
          <w:rFonts w:ascii="Consolas" w:cs="Consolas" w:eastAsia="Consolas" w:hAnsi="Consolas"/>
          <w:sz w:val="19"/>
          <w:szCs w:val="19"/>
        </w:rPr>
        <w:t xml:space="preserve">422</w:t>
      </w:r>
      <w:r>
        <w:t xml:space="preserve">. </w:t>
      </w:r>
      <w:r>
        <w:rPr>
          <w:i/>
          <w:iCs/>
        </w:rPr>
        <w:t xml:space="preserve">(2.9)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Devolver un objeto con un campo de más y </w:t>
      </w:r>
      <w:r>
        <w:rPr>
          <w:b/>
          <w:bCs/>
        </w:rPr>
        <w:t xml:space="preserve">verificar que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response_model</w:t>
      </w:r>
      <w:r>
        <w:rPr>
          <w:b/>
          <w:bCs/>
        </w:rPr>
        <w:t xml:space="preserve"> lo filtra</w:t>
      </w:r>
      <w:r>
        <w:t xml:space="preserve">. </w:t>
      </w:r>
      <w:r>
        <w:rPr>
          <w:i/>
          <w:iCs/>
        </w:rPr>
        <w:t xml:space="preserve">(2.5)</w:t>
      </w:r>
    </w:p>
    <w:p>
      <w:pPr>
        <w:pStyle w:val="Heading1"/>
        <w:keepNext/>
        <w:spacing w:after="180" w:before="360"/>
      </w:pPr>
      <w:r>
        <w:t xml:space="preserve">2.15 — Los trece errores frecuentes</w:t>
      </w:r>
    </w:p>
    <w:p>
      <w:pPr>
        <w:spacing w:after="140" w:line="300"/>
      </w:pPr>
      <w:r>
        <w:t xml:space="preserve">Casi todos comparten una característica: </w:t>
      </w:r>
      <w:r>
        <w:rPr>
          <w:b/>
          <w:bCs/>
        </w:rPr>
        <w:t xml:space="preserve">el código funciona y devuelve 200</w:t>
      </w:r>
      <w:r>
        <w:t xml:space="preserve">. Por eso llegan a producción.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000"/>
        <w:gridCol w:w="4800"/>
        <w:gridCol w:w="12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error</w:t>
            </w:r>
          </w:p>
        </w:tc>
        <w:tc>
          <w:tcPr>
            <w:tcW w:type="dxa" w:w="48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duele</w:t>
            </w:r>
          </w:p>
        </w:tc>
        <w:tc>
          <w:tcPr>
            <w:tcW w:type="dxa" w:w="1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Usar un solo modelo para entrada y salida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Obliga a declarar opcionales campos que el servidor genera, y </w:t>
            </w:r>
            <w:r>
              <w:rPr>
                <w:b/>
                <w:bCs/>
                <w:sz w:val="19"/>
                <w:szCs w:val="19"/>
              </w:rPr>
              <w:t xml:space="preserve">expone campos que no deberían salir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2.5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Olvidar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exclude_unset=True</w:t>
            </w:r>
            <w:r>
              <w:rPr>
                <w:b/>
                <w:bCs/>
                <w:sz w:val="19"/>
                <w:szCs w:val="19"/>
              </w:rPr>
              <w:t xml:space="preserve"> en una actualización parcial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Borra silenciosamente</w:t>
            </w:r>
            <w:r>
              <w:rPr>
                <w:sz w:val="19"/>
                <w:szCs w:val="19"/>
              </w:rPr>
              <w:t xml:space="preserve"> todos los campos que el cliente no mandó — y responde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200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2.6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Confundir «puede ser nulo» con «se puede omitir»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tipo dice qué valores admite; el valor por defecto dice si es obligatorio. Y esa confusión </w:t>
            </w:r>
            <w:r>
              <w:rPr>
                <w:b/>
                <w:bCs/>
                <w:sz w:val="19"/>
                <w:szCs w:val="19"/>
              </w:rPr>
              <w:t xml:space="preserve">también rompe el contrato que lee el otro equipo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2.3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Declarar un importe como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float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Reintroduce el error de punto flotante que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Decimal</w:t>
            </w:r>
            <w:r>
              <w:rPr>
                <w:sz w:val="19"/>
                <w:szCs w:val="19"/>
              </w:rPr>
              <w:t xml:space="preserve"> evita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2.7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Devolver el importe como número JSON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cliente lo convierte a punto flotante al parsearlo, y </w:t>
            </w:r>
            <w:r>
              <w:rPr>
                <w:b/>
                <w:bCs/>
                <w:sz w:val="19"/>
                <w:szCs w:val="19"/>
              </w:rPr>
              <w:t xml:space="preserve">la precisión se pierde del otro lado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2.7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Usar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PUT</w:t>
            </w:r>
            <w:r>
              <w:rPr>
                <w:b/>
                <w:bCs/>
                <w:sz w:val="19"/>
                <w:szCs w:val="19"/>
              </w:rPr>
              <w:t xml:space="preserve"> para una modificación parcial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Reemplaza el recurso completo, así que </w:t>
            </w:r>
            <w:r>
              <w:rPr>
                <w:b/>
                <w:bCs/>
                <w:sz w:val="19"/>
                <w:szCs w:val="19"/>
              </w:rPr>
              <w:t xml:space="preserve">los campos ausentes se borran</w:t>
            </w:r>
            <w:r>
              <w:rPr>
                <w:sz w:val="19"/>
                <w:szCs w:val="19"/>
              </w:rPr>
              <w:t xml:space="preserve">. El TPI directamente no usa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PUT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2.8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Tratar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401</w:t>
            </w:r>
            <w:r>
              <w:rPr>
                <w:b/>
                <w:bCs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403</w:t>
            </w:r>
            <w:r>
              <w:rPr>
                <w:b/>
                <w:bCs/>
                <w:sz w:val="19"/>
                <w:szCs w:val="19"/>
              </w:rPr>
              <w:t xml:space="preserve"> como lo mismo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Manda al login a alguien que </w:t>
            </w:r>
            <w:r>
              <w:rPr>
                <w:b/>
                <w:bCs/>
                <w:sz w:val="19"/>
                <w:szCs w:val="19"/>
              </w:rPr>
              <w:t xml:space="preserve">ya inició sesión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2.8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Devolver una lista suelta en lugar del envoltorio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cliente </w:t>
            </w:r>
            <w:r>
              <w:rPr>
                <w:b/>
                <w:bCs/>
                <w:sz w:val="19"/>
                <w:szCs w:val="19"/>
              </w:rPr>
              <w:t xml:space="preserve">no puede dibujar un paginador</w:t>
            </w:r>
            <w:r>
              <w:rPr>
                <w:sz w:val="19"/>
                <w:szCs w:val="19"/>
              </w:rPr>
              <w:t xml:space="preserve"> sin el total y las páginas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2.9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Calcular el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total</w:t>
            </w:r>
            <w:r>
              <w:rPr>
                <w:b/>
                <w:bCs/>
                <w:sz w:val="19"/>
                <w:szCs w:val="19"/>
              </w:rPr>
              <w:t xml:space="preserve"> sin los filtros activos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paginador miente</w:t>
            </w:r>
            <w:r>
              <w:rPr>
                <w:sz w:val="19"/>
                <w:szCs w:val="19"/>
              </w:rPr>
              <w:t xml:space="preserve"> — y nadie lo reporta como bug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2.9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limitar el tamaño de página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 cliente puede pedir un millón de registros, y </w:t>
            </w:r>
            <w:r>
              <w:rPr>
                <w:b/>
                <w:bCs/>
                <w:sz w:val="19"/>
                <w:szCs w:val="19"/>
              </w:rPr>
              <w:t xml:space="preserve">alcanza con un error de tipeo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2.9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Interpolar el campo de ordenamiento sin lista blanca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 una </w:t>
            </w:r>
            <w:r>
              <w:rPr>
                <w:b/>
                <w:bCs/>
                <w:sz w:val="19"/>
                <w:szCs w:val="19"/>
              </w:rPr>
              <w:t xml:space="preserve">superficie de inyección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2.9 y 2.13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Distinguir errores por el texto del mensaje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 rompe cuando alguien corrige la redacción. </w:t>
            </w:r>
            <w:r>
              <w:rPr>
                <w:b/>
                <w:bCs/>
                <w:sz w:val="19"/>
                <w:szCs w:val="19"/>
              </w:rPr>
              <w:t xml:space="preserve">Para eso está el código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2.10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Omitir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response_model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Cada campo que se agregue al modelo de datos </w:t>
            </w:r>
            <w:r>
              <w:rPr>
                <w:b/>
                <w:bCs/>
                <w:sz w:val="19"/>
                <w:szCs w:val="19"/>
              </w:rPr>
              <w:t xml:space="preserve">empieza a viajar al cliente sin que nadie lo decida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2.13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2.16 — Las actividades, y qué busca cada una</w:t>
      </w:r>
    </w:p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1. Los tres modelos</w:t>
      </w:r>
    </w:p>
    <w:p>
      <w:pPr>
        <w:spacing w:after="140" w:line="300"/>
      </w:pPr>
      <w:r>
        <w:t xml:space="preserve">Tomar la entidad </w:t>
      </w:r>
      <w:r>
        <w:rPr>
          <w:rFonts w:ascii="Consolas" w:cs="Consolas" w:eastAsia="Consolas" w:hAnsi="Consolas"/>
          <w:sz w:val="19"/>
          <w:szCs w:val="19"/>
        </w:rPr>
        <w:t xml:space="preserve">Producto</w:t>
      </w:r>
      <w:r>
        <w:t xml:space="preserve"> de la sección 7 del TPI y escribir sus </w:t>
      </w:r>
      <w:r>
        <w:rPr>
          <w:b/>
          <w:bCs/>
        </w:rPr>
        <w:t xml:space="preserve">tres modelos segregados completos</w:t>
      </w:r>
      <w:r>
        <w:t xml:space="preserve">, con todas las restricciones que el documento declara. Justificar campo por campo su presencia o ausencia en cada uno.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descubras que la justificación es siempre la misma pregunta — ¿quién produce este dato, el cliente o el servidor?</w:t>
      </w:r>
    </w:p>
    <w:p>
      <w:pPr>
        <w:pStyle w:val="Heading3"/>
        <w:keepNext/>
        <w:spacing w:after="100" w:before="220"/>
      </w:pPr>
      <w:r>
        <w:t xml:space="preserve">2. El bug del model_dump</w:t>
      </w:r>
    </w:p>
    <w:p>
      <w:pPr>
        <w:spacing w:after="140" w:line="300"/>
      </w:pPr>
      <w:r>
        <w:t xml:space="preserve">Implementar una actualización parcial </w:t>
      </w:r>
      <w:r>
        <w:rPr>
          <w:b/>
          <w:bCs/>
        </w:rPr>
        <w:t xml:space="preserve">de las dos formas</w:t>
      </w:r>
      <w:r>
        <w:t xml:space="preserve"> —con y sin </w:t>
      </w:r>
      <w:r>
        <w:rPr>
          <w:rFonts w:ascii="Consolas" w:cs="Consolas" w:eastAsia="Consolas" w:hAnsi="Consolas"/>
          <w:sz w:val="19"/>
          <w:szCs w:val="19"/>
        </w:rPr>
        <w:t xml:space="preserve">exclude_unset</w:t>
      </w:r>
      <w:r>
        <w:t xml:space="preserve">—, ejecutar la misma petición contra ambas y documentar el resultado. Explicar </w:t>
      </w:r>
      <w:r>
        <w:rPr>
          <w:b/>
          <w:bCs/>
        </w:rPr>
        <w:t xml:space="preserve">por qué la versión incorrecta responde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200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veas un borrado de datos que no genera ni una línea de error. Después de eso no se olvida más.</w:t>
      </w:r>
    </w:p>
    <w:p>
      <w:pPr>
        <w:pStyle w:val="Heading3"/>
        <w:keepNext/>
        <w:spacing w:after="100" w:before="220"/>
      </w:pPr>
      <w:r>
        <w:t xml:space="preserve">3. El contrato completo de un módulo</w:t>
      </w:r>
    </w:p>
    <w:p>
      <w:pPr>
        <w:spacing w:after="140" w:line="300"/>
      </w:pPr>
      <w:r>
        <w:t xml:space="preserve">Implementar el CRUD </w:t>
      </w:r>
      <w:r>
        <w:rPr>
          <w:b/>
          <w:bCs/>
        </w:rPr>
        <w:t xml:space="preserve">en memoria</w:t>
      </w:r>
      <w:r>
        <w:t xml:space="preserve"> del módulo </w:t>
      </w:r>
      <w:r>
        <w:rPr>
          <w:rFonts w:ascii="Consolas" w:cs="Consolas" w:eastAsia="Consolas" w:hAnsi="Consolas"/>
          <w:sz w:val="19"/>
          <w:szCs w:val="19"/>
        </w:rPr>
        <w:t xml:space="preserve">categorias</w:t>
      </w:r>
      <w:r>
        <w:t xml:space="preserve"> del TPI, con los verbos correctos, los códigos de estado de la sección 2.8, el envoltorio de colección y el ordenamiento. Exportar la especificación y </w:t>
      </w:r>
      <w:r>
        <w:rPr>
          <w:b/>
          <w:bCs/>
        </w:rPr>
        <w:t xml:space="preserve">compararla con la tabla de la sección 6.5 del TPI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comprobar con los ojos que el JSON generado y la tabla del TPI son el mismo objeto. Y que si difieren, el que está mal sos vos.</w:t>
      </w:r>
    </w:p>
    <w:p>
      <w:pPr>
        <w:pStyle w:val="Heading3"/>
        <w:keepNext/>
        <w:spacing w:after="100" w:before="220"/>
      </w:pPr>
      <w:r>
        <w:t xml:space="preserve">4. El dinero de punta a punta</w:t>
      </w:r>
    </w:p>
    <w:p>
      <w:pPr>
        <w:spacing w:after="140" w:line="300"/>
      </w:pPr>
      <w:r>
        <w:t xml:space="preserve">Escribir un endpoint que devuelva un importe y verificar en el </w:t>
      </w:r>
      <w:r>
        <w:rPr>
          <w:b/>
          <w:bCs/>
        </w:rPr>
        <w:t xml:space="preserve">JSON crudo</w:t>
      </w:r>
      <w:r>
        <w:t xml:space="preserve"> que sale como cadena. Después, en la consola del navegador, hacer </w:t>
      </w:r>
      <w:r>
        <w:rPr>
          <w:rFonts w:ascii="Consolas" w:cs="Consolas" w:eastAsia="Consolas" w:hAnsi="Consolas"/>
          <w:sz w:val="19"/>
          <w:szCs w:val="19"/>
        </w:rPr>
        <w:t xml:space="preserve">JSON.parse</w:t>
      </w:r>
      <w:r>
        <w:t xml:space="preserve"> de esa respuesta y </w:t>
      </w:r>
      <w:r>
        <w:rPr>
          <w:b/>
          <w:bCs/>
        </w:rPr>
        <w:t xml:space="preserve">comprobar qué tipo llega</w:t>
      </w:r>
      <w:r>
        <w:t xml:space="preserve">. Repetir declarando el importe como número y </w:t>
      </w:r>
      <w:r>
        <w:rPr>
          <w:b/>
          <w:bCs/>
        </w:rPr>
        <w:t xml:space="preserve">documentar la diferencia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ver el momento exacto en que la precisión se pierde, y que ese momento está del lado del cliente.</w:t>
      </w:r>
    </w:p>
    <w:p>
      <w:pPr>
        <w:pStyle w:val="Heading3"/>
        <w:keepNext/>
        <w:spacing w:after="100" w:before="220"/>
      </w:pPr>
      <w:r>
        <w:t xml:space="preserve">5. Errores con código</w:t>
      </w:r>
    </w:p>
    <w:p>
      <w:pPr>
        <w:spacing w:after="140" w:line="300"/>
      </w:pPr>
      <w:r>
        <w:t xml:space="preserve">Definir </w:t>
      </w:r>
      <w:r>
        <w:rPr>
          <w:b/>
          <w:bCs/>
        </w:rPr>
        <w:t xml:space="preserve">cinco códigos de error propios</w:t>
      </w:r>
      <w:r>
        <w:t xml:space="preserve"> para el módulo de productos, en el formato de la RFC 9457, y escribir el cliente mínimo que distinga entre ellos </w:t>
      </w:r>
      <w:r>
        <w:rPr>
          <w:b/>
          <w:bCs/>
        </w:rPr>
        <w:t xml:space="preserve">sin leer el texto del mensaje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sientas lo incómodo que es distinguir por texto — y por qué el catálogo existe.</w:t>
      </w:r>
    </w:p>
    <w:p>
      <w:pPr>
        <w:pStyle w:val="Heading3"/>
        <w:keepNext/>
        <w:spacing w:after="100" w:before="220"/>
      </w:pPr>
      <w:r>
        <w:t xml:space="preserve">6. Exploración: el contrato como interfaz entre equipos</w:t>
      </w:r>
    </w:p>
    <w:p>
      <w:pPr>
        <w:spacing w:after="140" w:line="300"/>
      </w:pPr>
      <w:r>
        <w:t xml:space="preserve">Junto con alguien del turno de frontend, implementar un endpoint y pedirle que escriba el cliente </w:t>
      </w:r>
      <w:r>
        <w:rPr>
          <w:b/>
          <w:bCs/>
        </w:rPr>
        <w:t xml:space="preserve">usando únicamente la documentación interactiva, sin conversar</w:t>
      </w:r>
      <w:r>
        <w:t xml:space="preserve">. Documentar </w:t>
      </w:r>
      <w:r>
        <w:rPr>
          <w:b/>
          <w:bCs/>
        </w:rPr>
        <w:t xml:space="preserve">cada pregunta que hizo falta hacer igual</w:t>
      </w:r>
      <w:r>
        <w:t xml:space="preserve">, y para cada una, qué habría que declarar en el schema para que no hiciera falta.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la lista de preguntas sea tu lista de tareas. Cada una es algo que el contrato no dice y debería.</w:t>
      </w:r>
    </w:p>
    <w:p>
      <w:pPr>
        <w:pStyle w:val="Heading3"/>
        <w:keepNext/>
        <w:spacing w:after="100" w:before="220"/>
      </w:pPr>
      <w:r>
        <w:t xml:space="preserve">7. Exploración: los límites de la coerción</w:t>
      </w:r>
    </w:p>
    <w:p>
      <w:pPr>
        <w:spacing w:after="140" w:line="300"/>
      </w:pPr>
      <w:r>
        <w:t xml:space="preserve">Para un modelo con campos </w:t>
      </w:r>
      <w:r>
        <w:rPr>
          <w:rFonts w:ascii="Consolas" w:cs="Consolas" w:eastAsia="Consolas" w:hAnsi="Consolas"/>
          <w:sz w:val="19"/>
          <w:szCs w:val="19"/>
        </w:rPr>
        <w:t xml:space="preserve">int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bool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datetime</w:t>
      </w:r>
      <w:r>
        <w:t xml:space="preserve">, probar </w:t>
      </w:r>
      <w:r>
        <w:rPr>
          <w:b/>
          <w:bCs/>
        </w:rPr>
        <w:t xml:space="preserve">diez entradas ambiguas</w:t>
      </w:r>
      <w:r>
        <w:t xml:space="preserve"> y documentar cuáles se aceptan y a qué valor se convierten. Repetir </w:t>
      </w:r>
      <w:r>
        <w:rPr>
          <w:b/>
          <w:bCs/>
        </w:rPr>
        <w:t xml:space="preserve">en modo estricto</w:t>
      </w:r>
      <w:r>
        <w:t xml:space="preserve"> y comparar. Relacionarlo con la decisión de la sección 2.7 sobre por qué los importes viajan como cadena.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veas cuánto te está tapando la coerción, y que decidas dónde no querés que te tape nada.</w:t>
      </w:r>
    </w:p>
    <w:p>
      <w:pPr>
        <w:pStyle w:val="Heading1"/>
        <w:keepNext/>
        <w:spacing w:after="180" w:before="360"/>
      </w:pPr>
      <w:r>
        <w:t xml:space="preserve">2.17 — Síntesis: las once frases</w:t>
      </w:r>
    </w:p>
    <w:p>
      <w:pPr>
        <w:spacing w:after="70"/>
      </w:pP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La historia del contrato entre sistemas tiene tres etapas, y cada una </w:t>
      </w:r>
      <w:r>
        <w:rPr>
          <w:b/>
          <w:bCs/>
        </w:rPr>
        <w:t xml:space="preserve">resignó algo distinto</w:t>
      </w:r>
      <w:r>
        <w:t xml:space="preserve">: el contrato generado eliminó el desajuste al precio de que nada pudiera moverse; REST recuperó la flexibilidad perdiendo la garantía; la especificación derivada del código busca las dos cosas.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Declarar es validar.</w:t>
      </w:r>
      <w:r>
        <w:t xml:space="preserve"> Las anotaciones de tipo dejaron de ser documentación y pasaron a ser comportamiento: validan, convierten y documentan a la vez.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La validación ocurre </w:t>
      </w:r>
      <w:r>
        <w:rPr>
          <w:b/>
          <w:bCs/>
        </w:rPr>
        <w:t xml:space="preserve">antes</w:t>
      </w:r>
      <w:r>
        <w:t xml:space="preserve"> del handler y reporta </w:t>
      </w:r>
      <w:r>
        <w:rPr>
          <w:b/>
          <w:bCs/>
        </w:rPr>
        <w:t xml:space="preserve">todos</w:t>
      </w:r>
      <w:r>
        <w:t xml:space="preserve"> los errores que encuentra, no el primero.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La coerción es deliberada —de una URL todo llega como texto— y tiene una contracara: </w:t>
      </w:r>
      <w:r>
        <w:rPr>
          <w:b/>
          <w:bCs/>
        </w:rPr>
        <w:t xml:space="preserve">puede disimular un error del cliente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El tipo dice qué valores admite; el valor por defecto dice si es obligatorio.</w:t>
      </w:r>
      <w:r>
        <w:t xml:space="preserve"> Son dos cosas distintas y confundirlas rompe la actualización parcial.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Hacen falta </w:t>
      </w:r>
      <w:r>
        <w:rPr>
          <w:b/>
          <w:bCs/>
        </w:rPr>
        <w:t xml:space="preserve">tres modelos y no uno</w:t>
      </w:r>
      <w:r>
        <w:t xml:space="preserve">: lo que el cliente aporta, lo que puede cambiar y lo que se le muestra. Un modelo compartido </w:t>
      </w:r>
      <w:r>
        <w:rPr>
          <w:b/>
          <w:bCs/>
        </w:rPr>
        <w:t xml:space="preserve">obliga a mentir en la especificación</w:t>
      </w:r>
      <w:r>
        <w:t xml:space="preserve"> y expone campos que no deben salir.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exclude_unset=True</w:t>
      </w:r>
      <w:r>
        <w:rPr>
          <w:b/>
          <w:bCs/>
        </w:rPr>
        <w:t xml:space="preserve"> separa una actualización parcial de un borrado silencioso.</w:t>
      </w:r>
      <w:r>
        <w:t xml:space="preserve"> Sin él, los campos que el cliente no mandó se pisan con nulo, y la respuesta es </w:t>
      </w:r>
      <w:r>
        <w:rPr>
          <w:rFonts w:ascii="Consolas" w:cs="Consolas" w:eastAsia="Consolas" w:hAnsi="Consolas"/>
          <w:sz w:val="19"/>
          <w:szCs w:val="19"/>
        </w:rPr>
        <w:t xml:space="preserve">200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El dinero es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Decimal</w:t>
      </w:r>
      <w:r>
        <w:rPr>
          <w:b/>
          <w:bCs/>
        </w:rPr>
        <w:t xml:space="preserve"> adentro y cadena afuera</w:t>
      </w:r>
      <w:r>
        <w:t xml:space="preserve">, y las dos mitades tienen su razón: exactitud del lado del servidor, y que el cliente no lo convierta a punto flotante al parsearlo.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El TPI </w:t>
      </w:r>
      <w:r>
        <w:rPr>
          <w:b/>
          <w:bCs/>
        </w:rPr>
        <w:t xml:space="preserve">no usa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PUT</w:t>
      </w:r>
      <w:r>
        <w:t xml:space="preserve">, porque reemplazar el recurso completo borra lo que no se mandó. </w:t>
      </w:r>
      <w:r>
        <w:rPr>
          <w:rFonts w:ascii="Consolas" w:cs="Consolas" w:eastAsia="Consolas" w:hAnsi="Consolas"/>
          <w:sz w:val="19"/>
          <w:szCs w:val="19"/>
        </w:rPr>
        <w:t xml:space="preserve">PATCH</w:t>
      </w:r>
      <w:r>
        <w:t xml:space="preserve"> es el verbo de toda actualización.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Un </w:t>
      </w:r>
      <w:r>
        <w:rPr>
          <w:b/>
          <w:bCs/>
        </w:rPr>
        <w:t xml:space="preserve">mensaje de error es para una persona y un código es para un programa</w:t>
      </w:r>
      <w:r>
        <w:t xml:space="preserve">. Hacen falta los dos, y comparar textos es frágil.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El </w:t>
      </w:r>
      <w:r>
        <w:rPr>
          <w:b/>
          <w:bCs/>
        </w:rPr>
        <w:t xml:space="preserve">identificador de petición</w:t>
      </w:r>
      <w:r>
        <w:t xml:space="preserve"> convierte miles de líneas de registro en las diez que corresponden a un problema concreto, y </w:t>
      </w:r>
      <w:r>
        <w:rPr>
          <w:b/>
          <w:bCs/>
        </w:rPr>
        <w:t xml:space="preserve">viaja hasta las tareas</w:t>
      </w:r>
      <w:r>
        <w:t xml:space="preserve"> que esa petición encoló.</w:t>
      </w:r>
    </w:p>
    <w:p>
      <w:pPr>
        <w:pStyle w:val="Heading1"/>
        <w:keepNext/>
        <w:spacing w:after="180" w:before="360"/>
      </w:pPr>
      <w:r>
        <w:t xml:space="preserve">2.18 — Qué leer, y en qué orden</w:t>
      </w:r>
    </w:p>
    <w:p>
      <w:pPr>
        <w:pStyle w:val="Heading3"/>
        <w:keepNext/>
        <w:spacing w:after="100" w:before="220"/>
      </w:pPr>
      <w:r>
        <w:t xml:space="preserve">Si leés una sola cosa</w:t>
      </w:r>
    </w:p>
    <w:p>
      <w:pPr>
        <w:spacing w:after="140" w:line="300"/>
      </w:pPr>
      <w:r>
        <w:t xml:space="preserve">La documentación de </w:t>
      </w:r>
      <w:r>
        <w:rPr>
          <w:b/>
          <w:bCs/>
        </w:rPr>
        <w:t xml:space="preserve">Pydantic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</w:rPr>
        <w:t xml:space="preserve">docs.pydantic.dev</w:t>
      </w:r>
      <w:r>
        <w:t xml:space="preserve"> — es la fuente para todo lo de las secciones 2.3 a 2.6, y su página sobre </w:t>
      </w:r>
      <w:r>
        <w:rPr>
          <w:b/>
          <w:bCs/>
        </w:rPr>
        <w:t xml:space="preserve">modos de validación</w:t>
      </w:r>
      <w:r>
        <w:t xml:space="preserve"> explica con precisión </w:t>
      </w:r>
      <w:r>
        <w:rPr>
          <w:b/>
          <w:bCs/>
        </w:rPr>
        <w:t xml:space="preserve">qué convierte y qué no</w:t>
      </w:r>
      <w:r>
        <w:t xml:space="preserve">, que es justo lo que la sección 2.4 deja planteado.</w:t>
      </w:r>
    </w:p>
    <w:p>
      <w:pPr>
        <w:pStyle w:val="Heading3"/>
        <w:keepNext/>
        <w:spacing w:after="100" w:before="220"/>
      </w:pPr>
      <w:r>
        <w:t xml:space="preserve">Si leés tres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La documentación de </w:t>
      </w:r>
      <w:r>
        <w:rPr>
          <w:b/>
          <w:bCs/>
        </w:rPr>
        <w:t xml:space="preserve">FastAPI</w:t>
      </w:r>
      <w:r>
        <w:t xml:space="preserve"> sobre </w:t>
      </w:r>
      <w:r>
        <w:rPr>
          <w:b/>
          <w:bCs/>
        </w:rPr>
        <w:t xml:space="preserve">modelos de respuesta</w:t>
      </w:r>
      <w:r>
        <w:t xml:space="preserve"> y sobre </w:t>
      </w:r>
      <w:r>
        <w:rPr>
          <w:b/>
          <w:bCs/>
        </w:rPr>
        <w:t xml:space="preserve">parámetros de consulta</w:t>
      </w:r>
      <w:r>
        <w:t xml:space="preserve">: cubre lo de las secciones 2.5 y 2.9 con más ejemplos de los que entran acá.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Kleppmann</w:t>
      </w:r>
      <w:r>
        <w:t xml:space="preserve">, </w:t>
      </w:r>
      <w:r>
        <w:rPr>
          <w:i/>
          <w:iCs/>
        </w:rPr>
        <w:t xml:space="preserve">Designing Data-Intensive Applications</w:t>
      </w:r>
      <w:r>
        <w:t xml:space="preserve"> (O'Reilly, 2017), </w:t>
      </w:r>
      <w:r>
        <w:rPr>
          <w:b/>
          <w:bCs/>
        </w:rPr>
        <w:t xml:space="preserve">capítulo cuarto</w:t>
      </w:r>
      <w:r>
        <w:t xml:space="preserve">: trata la compatibilidad hacia adelante y hacia atrás, y responde la pregunta que todo el mundo hace al final de esta clase — </w:t>
      </w:r>
      <w:r>
        <w:rPr>
          <w:b/>
          <w:bCs/>
        </w:rPr>
        <w:t xml:space="preserve">qué pasa cuando el contrato tiene que cambiar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Masse</w:t>
      </w:r>
      <w:r>
        <w:t xml:space="preserve">, </w:t>
      </w:r>
      <w:r>
        <w:rPr>
          <w:i/>
          <w:iCs/>
        </w:rPr>
        <w:t xml:space="preserve">REST API Design Rulebook</w:t>
      </w:r>
      <w:r>
        <w:t xml:space="preserve"> (O'Reilly, 2011), para las convenciones de la sección 2.9 — leyéndolo con la advertencia de que </w:t>
      </w:r>
      <w:r>
        <w:rPr>
          <w:b/>
          <w:bCs/>
        </w:rPr>
        <w:t xml:space="preserve">es anterior a OpenAPI</w:t>
      </w:r>
      <w:r>
        <w:t xml:space="preserve">.</w:t>
      </w:r>
    </w:p>
    <w:p>
      <w:pPr>
        <w:pStyle w:val="Heading3"/>
        <w:keepNext/>
        <w:spacing w:after="100" w:before="220"/>
      </w:pPr>
      <w:r>
        <w:t xml:space="preserve">Las fuentes normativas (para consultar, no para leer de corrido)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RFC 9457</w:t>
      </w:r>
      <w:r>
        <w:t xml:space="preserve">, </w:t>
      </w:r>
      <w:r>
        <w:rPr>
          <w:i/>
          <w:iCs/>
        </w:rPr>
        <w:t xml:space="preserve">Problem Details for HTTP APIs</w:t>
      </w:r>
      <w:r>
        <w:t xml:space="preserve"> (2023): reemplazó a la RFC 7807 y define los campos de error que el TPI adopta.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RFC 9110</w:t>
      </w:r>
      <w:r>
        <w:t xml:space="preserve">, ya citada por la otra mitad de la cursada: códigos de estado y semántica de los métodos. Su sección sobre </w:t>
      </w:r>
      <w:r>
        <w:rPr>
          <w:rFonts w:ascii="Consolas" w:cs="Consolas" w:eastAsia="Consolas" w:hAnsi="Consolas"/>
          <w:sz w:val="19"/>
          <w:szCs w:val="19"/>
        </w:rPr>
        <w:t xml:space="preserve">PATCH</w:t>
      </w:r>
      <w:r>
        <w:t xml:space="preserve"> remite a la </w:t>
      </w:r>
      <w:r>
        <w:rPr>
          <w:b/>
          <w:bCs/>
        </w:rPr>
        <w:t xml:space="preserve">RFC 5789</w:t>
      </w:r>
      <w:r>
        <w:t xml:space="preserve">, que lo introdujo y </w:t>
      </w:r>
      <w:r>
        <w:rPr>
          <w:b/>
          <w:bCs/>
        </w:rPr>
        <w:t xml:space="preserve">explica en qué se diferencia de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PUT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OpenAPI 3.1</w:t>
      </w:r>
      <w:r>
        <w:t xml:space="preserve"> y </w:t>
      </w:r>
      <w:r>
        <w:rPr>
          <w:b/>
          <w:bCs/>
        </w:rPr>
        <w:t xml:space="preserve">JSON Schema</w:t>
      </w:r>
      <w:r>
        <w:t xml:space="preserve">: el formato de la especificación que el marco de trabajo genera, alineado con JSON Schema desde esa versión. Conviene tenerlo a mano para entender </w:t>
      </w:r>
      <w:r>
        <w:rPr>
          <w:b/>
          <w:bCs/>
        </w:rPr>
        <w:t xml:space="preserve">cómo se traduce cada restricción</w:t>
      </w:r>
      <w:r>
        <w:t xml:space="preserve"> (Figura 2.6).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La entrada del proyecto </w:t>
      </w:r>
      <w:r>
        <w:rPr>
          <w:b/>
          <w:bCs/>
        </w:rPr>
        <w:t xml:space="preserve">OpenAPI sobre su propia historia</w:t>
      </w:r>
      <w:r>
        <w:t xml:space="preserve">, para el contexto de la sección 2.2: el paso de Swagger a la Linux Foundation en 2015.</w:t>
      </w:r>
    </w:p>
    <w:p>
      <w:pPr>
        <w:pStyle w:val="Heading3"/>
        <w:keepNext/>
        <w:spacing w:after="100" w:before="220"/>
      </w:pPr>
      <w:r>
        <w:t xml:space="preserve">Del TPI, tres secciones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6.1</w:t>
      </w:r>
      <w:r>
        <w:t xml:space="preserve"> — las convenciones globales. </w:t>
      </w:r>
      <w:r>
        <w:rPr>
          <w:b/>
          <w:bCs/>
        </w:rPr>
        <w:t xml:space="preserve">Conviene leerla entera y tenerla a mano</w:t>
      </w:r>
      <w:r>
        <w:t xml:space="preserve">: de ahí salen la paginación, el ordenamiento, el dinero, los verbos y el </w:t>
      </w:r>
      <w:r>
        <w:rPr>
          <w:rFonts w:ascii="Consolas" w:cs="Consolas" w:eastAsia="Consolas" w:hAnsi="Consolas"/>
          <w:sz w:val="19"/>
          <w:szCs w:val="19"/>
        </w:rPr>
        <w:t xml:space="preserve">exclude_unset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7</w:t>
      </w:r>
      <w:r>
        <w:t xml:space="preserve"> — los schemas de cada módulo.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14.1</w:t>
      </w:r>
      <w:r>
        <w:t xml:space="preserve"> — el catálogo de errores.</w:t>
      </w:r>
    </w:p>
    <w:p>
      <w:pPr>
        <w:pStyle w:val="Heading1"/>
        <w:keepNext/>
        <w:spacing w:after="180" w:before="360"/>
      </w:pPr>
      <w:r>
        <w:t xml:space="preserve">Cierre: las seis cosas que hay que recordar</w:t>
      </w:r>
    </w:p>
    <w:p>
      <w:pPr>
        <w:spacing w:after="140" w:line="300"/>
      </w:pPr>
      <w:r>
        <w:t xml:space="preserve">Si dentro de un mes te acordás de seis frases de todo esto, que sean estas.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LAS SEIS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1.</w:t>
            </w:r>
            <w:r>
              <w:t xml:space="preserve"> Un contrato entre dos equipos </w:t>
            </w:r>
            <w:r>
              <w:rPr>
                <w:b/>
                <w:bCs/>
              </w:rPr>
              <w:t xml:space="preserve">siempre resigna algo</w:t>
            </w:r>
            <w:r>
              <w:t xml:space="preserve">: rigidez o garantía. La pregunta ante cualquier herramienta es </w:t>
            </w:r>
            <w:r>
              <w:rPr>
                <w:b/>
                <w:bCs/>
              </w:rPr>
              <w:t xml:space="preserve">qué resignó para funcionar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Declarar es validar.</w:t>
            </w:r>
            <w:r>
              <w:t xml:space="preserve"> El mismo tipo valida la entrada, convierte, filtra la salida y escribe el contrato que lee el otro equipo. </w:t>
            </w:r>
            <w:r>
              <w:rPr>
                <w:b/>
                <w:bCs/>
              </w:rPr>
              <w:t xml:space="preserve">Si está mal, están mal las cuatro.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Tres modelos y no uno:</w:t>
            </w:r>
            <w:r>
              <w:t xml:space="preserve"> lo que el cliente aporta, lo que puede cambiar y lo que se le muestra. Un modelo compartido obliga a mentir y filtra datos sin dar error.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4.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exclude_unset=True</w:t>
            </w:r>
            <w:r>
              <w:t xml:space="preserve"> es la diferencia entre actualizar y borrar. Y la versión rota </w:t>
            </w:r>
            <w:r>
              <w:rPr>
                <w:b/>
                <w:bCs/>
              </w:rPr>
              <w:t xml:space="preserve">responde 200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El dinero es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Decimal</w:t>
            </w:r>
            <w:r>
              <w:rPr>
                <w:b/>
                <w:bCs/>
              </w:rPr>
              <w:t xml:space="preserve"> adentro y cadena afuera.</w:t>
            </w:r>
            <w:r>
              <w:t xml:space="preserve"> La restricción la impone el tipo, no la disciplina de quien escribe.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6.</w:t>
            </w:r>
            <w:r>
              <w:t xml:space="preserve"> </w:t>
            </w:r>
            <w:r>
              <w:rPr>
                <w:b/>
                <w:bCs/>
              </w:rPr>
              <w:t xml:space="preserve">El mensaje es para una persona; el código, para un programa.</w:t>
            </w:r>
            <w:r>
              <w:t xml:space="preserve"> Y el tercer nivel —qué puede hacer el cliente— es el que casi nadie pone y el que más ayuda.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Y una séptima, que atraviesa todo el capítulo: </w:t>
      </w:r>
      <w:r>
        <w:rPr>
          <w:b/>
          <w:bCs/>
        </w:rPr>
        <w:t xml:space="preserve">cada vez que una regla depende de que alguien se acuerde, buscá la forma de que la imponga el tipo, el schema o el framework.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response_model</w:t>
      </w:r>
      <w:r>
        <w:t xml:space="preserve">, la lista blanca del </w:t>
      </w:r>
      <w:r>
        <w:rPr>
          <w:rFonts w:ascii="Consolas" w:cs="Consolas" w:eastAsia="Consolas" w:hAnsi="Consolas"/>
          <w:sz w:val="19"/>
          <w:szCs w:val="19"/>
        </w:rPr>
        <w:t xml:space="preserve">sort</w:t>
      </w:r>
      <w:r>
        <w:t xml:space="preserve">, el </w:t>
      </w:r>
      <w:r>
        <w:rPr>
          <w:rFonts w:ascii="Consolas" w:cs="Consolas" w:eastAsia="Consolas" w:hAnsi="Consolas"/>
          <w:sz w:val="19"/>
          <w:szCs w:val="19"/>
        </w:rPr>
        <w:t xml:space="preserve">le=100</w:t>
      </w:r>
      <w:r>
        <w:t xml:space="preserve">, el </w:t>
      </w:r>
      <w:r>
        <w:rPr>
          <w:rFonts w:ascii="Consolas" w:cs="Consolas" w:eastAsia="Consolas" w:hAnsi="Consolas"/>
          <w:sz w:val="19"/>
          <w:szCs w:val="19"/>
        </w:rPr>
        <w:t xml:space="preserve">Decimal</w:t>
      </w:r>
      <w:r>
        <w:t xml:space="preserve">. Ninguna de esas cuatro confía en tu memoria — y por eso ninguna falla a las dos de la mañana antes de entregar.</w:t>
      </w:r>
    </w:p>
    <w:sectPr>
      <w:pgSz w:w="11906" w:h="16838" w:orient="portrait"/>
      <w:pgMar w:top="1300" w:right="1350" w:bottom="13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70" w:before="420"/>
    </w:pPr>
    <w:rPr>
      <w:rFonts w:ascii="Calibri" w:cs="Calibri" w:eastAsia="Calibri" w:hAnsi="Calibri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6FB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C4A6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77891f4373f1406e34bfa4380ff20ecb55ca4a.png"/><Relationship Id="rId8" Type="http://schemas.openxmlformats.org/officeDocument/2006/relationships/image" Target="media/1bf1012a901ac730fa0480361e7e0aa29ac24832.png"/><Relationship Id="rId9" Type="http://schemas.openxmlformats.org/officeDocument/2006/relationships/image" Target="media/84c620e5ed501f880be78e517121bacd8f034b16.png"/><Relationship Id="rId10" Type="http://schemas.openxmlformats.org/officeDocument/2006/relationships/image" Target="media/3c547ef3699007ac044a2f38142f4e5061a1e19e.png"/><Relationship Id="rId11" Type="http://schemas.openxmlformats.org/officeDocument/2006/relationships/image" Target="media/1038494b7213d19979acee88ac592f5f4ed7f49a.png"/><Relationship Id="rId12" Type="http://schemas.openxmlformats.org/officeDocument/2006/relationships/image" Target="media/bf1d443f4d71c6baeaa2bfbc3ef3c971ba4a7fa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Contratos: schemas, validación y CRUD — en criollo</dc:title>
  <dc:creator>Alberto</dc:creator>
  <dc:description>Traducción didáctica del Capítulo 2</dc:description>
  <cp:lastModifiedBy>Un-named</cp:lastModifiedBy>
  <cp:revision>1</cp:revision>
  <dcterms:created xsi:type="dcterms:W3CDTF">2026-09-02T19:23:11.237Z</dcterms:created>
  <dcterms:modified xsi:type="dcterms:W3CDTF">2026-09-02T19:23:11.237Z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