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4 — GUÍA DE LECTURA</w:t>
      </w:r>
    </w:p>
    <w:p>
      <w:pPr>
        <w:spacing w:after="60"/>
      </w:pPr>
      <w:r>
        <w:rPr>
          <w:b/>
          <w:bCs/>
          <w:color w:val="1F3B57"/>
          <w:sz w:val="56"/>
          <w:szCs w:val="56"/>
        </w:rPr>
        <w:t xml:space="preserve">Persistencia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SQLModel, PostgreSQL y el modelo de datos, en criollo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t xml:space="preserve">Los tres capítulos anteriores construyeron un servicio que responde, valida y no bloquea. </w:t>
            </w:r>
            <w:r>
              <w:rPr>
                <w:b/>
                <w:bCs/>
              </w:rPr>
              <w:t xml:space="preserve">Le falta lo único que importa a largo plazo: recordar.</w:t>
            </w:r>
          </w:p>
          <w:p>
            <w:pPr>
              <w:spacing w:after="110" w:line="290"/>
            </w:pPr>
            <w:r>
              <w:t xml:space="preserve">Y con la persistencia aparece la primera decisión verdaderamente difícil del módulo — que </w:t>
            </w:r>
            <w:r>
              <w:rPr>
                <w:b/>
                <w:bCs/>
              </w:rPr>
              <w:t xml:space="preserve">no es técnica sino de traducción</w:t>
            </w:r>
            <w:r>
              <w:t xml:space="preserve">. Las actividades 5 y 6 de POO les dieron un vocabulario preciso: asociación, agregación, composición. </w:t>
            </w:r>
            <w:r>
              <w:rPr>
                <w:b/>
                <w:bCs/>
              </w:rPr>
              <w:t xml:space="preserve">Una base relacional no tiene ninguna de esas tres cosas:</w:t>
            </w:r>
            <w:r>
              <w:t xml:space="preserve"> tiene tablas, filas y claves foráneas.</w:t>
            </w:r>
          </w:p>
          <w:p>
            <w:pPr>
              <w:spacing w:after="110" w:line="290"/>
            </w:pPr>
            <w:r>
              <w:t xml:space="preserve">Equivocarse ahí cuesta más caro que en cualquier otra parte del sistema, y la razón es una sola: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Los datos sobreviven al código.</w:t>
            </w:r>
          </w:p>
          <w:p>
            <w:pPr>
              <w:spacing w:after="110" w:line="290"/>
            </w:pPr>
            <w:r>
              <w:t xml:space="preserve">Un endpoint mal escrito se corrige con un despliegue. Un esquema mal pensado se arrastra durante años, y cada corrección tiene que llevarse consigo lo que ya está guardado.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4.1 — De qué se trata esta clase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El capítulo introduce el almacenamiento durable y </w:t>
      </w:r>
      <w:r>
        <w:rPr>
          <w:b/>
          <w:bCs/>
        </w:rPr>
        <w:t xml:space="preserve">cobra dos deudas de la clase anterior</w:t>
      </w:r>
      <w:r>
        <w:t xml:space="preserve">. </w:t>
      </w:r>
      <w:r>
        <w:rPr>
          <w:b/>
          <w:bCs/>
        </w:rPr>
        <w:t xml:space="preserve">EA-04</w:t>
      </w:r>
      <w:r>
        <w:t xml:space="preserve"> —la sesión que no expira sus objetos al confirmar— y </w:t>
      </w:r>
      <w:r>
        <w:rPr>
          <w:b/>
          <w:bCs/>
        </w:rPr>
        <w:t xml:space="preserve">EA-05</w:t>
      </w:r>
      <w:r>
        <w:t xml:space="preserve"> —la carga perezosa prohibida— dejan de ser advertencias sobre una excepción con nombre raro y pasan a ser </w:t>
      </w:r>
      <w:r>
        <w:rPr>
          <w:b/>
          <w:bCs/>
        </w:rPr>
        <w:t xml:space="preserve">dos líneas de código concretas, con su motivo a la vista</w:t>
      </w:r>
      <w:r>
        <w:t xml:space="preserve">.</w:t>
      </w:r>
    </w:p>
    <w:p>
      <w:pPr>
        <w:spacing w:after="140" w:line="300"/>
      </w:pPr>
      <w:r>
        <w:t xml:space="preserve">Y hay una sección que el capítulo trata con especial cuidado </w:t>
      </w:r>
      <w:r>
        <w:rPr>
          <w:b/>
          <w:bCs/>
        </w:rPr>
        <w:t xml:space="preserve">porque contradice lo que se enseña habitualmente</w:t>
      </w:r>
      <w:r>
        <w:t xml:space="preserve">. Todo curso de bases de datos enseña a </w:t>
      </w:r>
      <w:r>
        <w:rPr>
          <w:b/>
          <w:bCs/>
        </w:rPr>
        <w:t xml:space="preserve">normalizar</w:t>
      </w:r>
      <w:r>
        <w:t xml:space="preserve">: que un dato viva en un solo lugar. El TPI declara </w:t>
      </w:r>
      <w:r>
        <w:rPr>
          <w:b/>
          <w:bCs/>
        </w:rPr>
        <w:t xml:space="preserve">cinco redundancias deliberadas</w:t>
      </w:r>
      <w:r>
        <w:t xml:space="preserve"> y las justifica una por una. Entender por qué a veces copiar un dato es lo correcto —y qué hay que hacer para que esa copia no se convierta en una mentira— </w:t>
      </w:r>
      <w:r>
        <w:rPr>
          <w:b/>
          <w:bCs/>
        </w:rPr>
        <w:t xml:space="preserve">es lo que separa aplicar una regla de tomar una decisión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criterio con el que el TPI resuelve eso vale como enunciado de todo el capítulo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«Ninguna redundancia queda sostenida sólo por la disciplina del Service.»</w:t>
            </w:r>
          </w:p>
          <w:p>
            <w:pPr>
              <w:spacing w:after="110" w:line="290"/>
            </w:pPr>
            <w:r>
              <w:t xml:space="preserve">Dicho al revés: </w:t>
            </w:r>
            <w:r>
              <w:rPr>
                <w:b/>
                <w:bCs/>
              </w:rPr>
              <w:t xml:space="preserve">si tu única defensa es que alguien se acuerde de actualizar las dos copias, no tenés defensa.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Traducir un diagrama de clases a un esquema relacional</w:t>
            </w:r>
            <w:r>
              <w:t xml:space="preserve">, justificando cada decisión.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Escribir los modelos con su carga anticipada declarada.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Generar y leer una migración antes de aplicarla.</w:t>
            </w:r>
          </w:p>
          <w:p>
            <w:pPr>
              <w:spacing w:after="110" w:line="290"/>
            </w:pPr>
            <w:r>
              <w:t xml:space="preserve">La tercera es la que más gente saltea, y es la única cuyo error </w:t>
            </w:r>
            <w:r>
              <w:rPr>
                <w:b/>
                <w:bCs/>
              </w:rPr>
              <w:t xml:space="preserve">no se puede deshacer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4.2 — Por qué relacional, y qué esconde un ORM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El modelo relacional es de </w:t>
      </w:r>
      <w:r>
        <w:rPr>
          <w:b/>
          <w:bCs/>
        </w:rPr>
        <w:t xml:space="preserve">1970</w:t>
      </w:r>
      <w:r>
        <w:t xml:space="preserve"> y nació de un artículo de Edgar Codd que proponía algo entonces radical: </w:t>
      </w:r>
      <w:r>
        <w:rPr>
          <w:b/>
          <w:bCs/>
        </w:rPr>
        <w:t xml:space="preserve">separar cómo se guardan los datos de cómo se consultan</w:t>
      </w:r>
      <w:r>
        <w:t xml:space="preserve">. Los sistemas de la época obligaban al programa a conocer la estructura física del almacenamiento —punteros, orden de los registros— y por lo tanto </w:t>
      </w:r>
      <w:r>
        <w:rPr>
          <w:b/>
          <w:bCs/>
        </w:rPr>
        <w:t xml:space="preserve">cualquier cambio en esa estructura rompía todos los programas</w:t>
      </w:r>
      <w:r>
        <w:t xml:space="preserve">.</w:t>
      </w:r>
    </w:p>
    <w:p>
      <w:pPr>
        <w:spacing w:after="140" w:line="300"/>
      </w:pPr>
      <w:r>
        <w:t xml:space="preserve">La propuesta de Codd fue describir los datos como </w:t>
      </w:r>
      <w:r>
        <w:rPr>
          <w:b/>
          <w:bCs/>
        </w:rPr>
        <w:t xml:space="preserve">relaciones</w:t>
      </w:r>
      <w:r>
        <w:t xml:space="preserve"> —conjuntos de tuplas— y consultarlos con un lenguaje </w:t>
      </w:r>
      <w:r>
        <w:rPr>
          <w:b/>
          <w:bCs/>
        </w:rPr>
        <w:t xml:space="preserve">declarativo</w:t>
      </w:r>
      <w:r>
        <w:t xml:space="preserve"> donde uno dice </w:t>
      </w:r>
      <w:r>
        <w:rPr>
          <w:b/>
          <w:bCs/>
        </w:rPr>
        <w:t xml:space="preserve">qué quiere, no cómo obtenerlo</w:t>
      </w:r>
      <w:r>
        <w:t xml:space="preserve">. El motor decide el cómo. Esa separación es la razón por la que un esquema puede reorganizarse, agregar índices o cambiar su almacenamiento </w:t>
      </w:r>
      <w:r>
        <w:rPr>
          <w:b/>
          <w:bCs/>
        </w:rPr>
        <w:t xml:space="preserve">sin que las consultas cambien</w:t>
      </w:r>
      <w:r>
        <w:t xml:space="preserve">.</w:t>
      </w:r>
    </w:p>
    <w:p>
      <w:pPr>
        <w:spacing w:after="140" w:line="300"/>
      </w:pPr>
      <w:r>
        <w:t xml:space="preserve">Sobre eso se construyeron </w:t>
      </w:r>
      <w:r>
        <w:rPr>
          <w:b/>
          <w:bCs/>
        </w:rPr>
        <w:t xml:space="preserve">dos garantías</w:t>
      </w:r>
      <w:r>
        <w:t xml:space="preserve"> que el resto del módulo da por sentadas: las </w:t>
      </w:r>
      <w:r>
        <w:rPr>
          <w:b/>
          <w:bCs/>
        </w:rPr>
        <w:t xml:space="preserve">restricciones declaradas</w:t>
      </w:r>
      <w:r>
        <w:t xml:space="preserve"> —una clave foránea, una unicidad, una comprobación— que el motor impone </w:t>
      </w:r>
      <w:r>
        <w:rPr>
          <w:b/>
          <w:bCs/>
        </w:rPr>
        <w:t xml:space="preserve">sin que ningún programa colabore</w:t>
      </w:r>
      <w:r>
        <w:t xml:space="preserve">, y las </w:t>
      </w:r>
      <w:r>
        <w:rPr>
          <w:b/>
          <w:bCs/>
        </w:rPr>
        <w:t xml:space="preserve">transacciones</w:t>
      </w:r>
      <w:r>
        <w:t xml:space="preserve">, que la clase 6 estudia.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El desajuste: por qué los dos mundos no encajan</w:t>
      </w:r>
    </w:p>
    <w:p>
      <w:pPr>
        <w:spacing w:after="140" w:line="300"/>
      </w:pPr>
      <w:r>
        <w:t xml:space="preserve">Cuando los lenguajes orientados a objetos se volvieron dominantes, apareció un problema conocido como </w:t>
      </w:r>
      <w:r>
        <w:rPr>
          <w:b/>
          <w:bCs/>
        </w:rPr>
        <w:t xml:space="preserve">desajuste de impedancia objeto-relacional</w:t>
      </w:r>
      <w:r>
        <w:t xml:space="preserve">. Conviene enunciarlo con precisión porque explica todo lo que sigue.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4.2 </w:t>
      </w:r>
      <w:r>
        <w:rPr>
          <w:i/>
          <w:iCs/>
          <w:color w:val="5A6472"/>
          <w:sz w:val="18"/>
          <w:szCs w:val="18"/>
        </w:rPr>
        <w:t xml:space="preserve">— Las cinco diferencias del desajuste, y la que más cuesta.</w:t>
      </w:r>
    </w:p>
    <w:p>
      <w:pPr>
        <w:pStyle w:val="Heading3"/>
        <w:keepNext/>
        <w:spacing w:after="100" w:before="220"/>
      </w:pPr>
      <w:r>
        <w:t xml:space="preserve">Los mapeadores, y la advertencia que sostiene el capítulo entero</w:t>
      </w:r>
    </w:p>
    <w:p>
      <w:pPr>
        <w:spacing w:after="140" w:line="300"/>
      </w:pPr>
      <w:r>
        <w:t xml:space="preserve">Un ORM traduce entre los dos modelos. Hibernate lo popularizó en Java a partir de 2001, y SQLAlchemy hizo lo propio en Python desde 2006. </w:t>
      </w:r>
      <w:r>
        <w:rPr>
          <w:b/>
          <w:bCs/>
        </w:rPr>
        <w:t xml:space="preserve">La promesa es escribir objetos y que alguien más se ocupe del SQL.</w:t>
      </w:r>
    </w:p>
    <w:p>
      <w:pPr>
        <w:spacing w:after="140" w:line="300"/>
      </w:pPr>
      <w:r>
        <w:t xml:space="preserve">Y acá va la advertencia: </w:t>
      </w:r>
      <w:r>
        <w:rPr>
          <w:b/>
          <w:bCs/>
        </w:rPr>
        <w:t xml:space="preserve">un ORM no elimina el desajuste, lo esconde.</w:t>
      </w:r>
      <w:r>
        <w:t xml:space="preserve"> Todo lo de esa tabla sigue ahí abajo. Quien no lo sabe </w:t>
      </w:r>
      <w:r>
        <w:rPr>
          <w:b/>
          <w:bCs/>
        </w:rPr>
        <w:t xml:space="preserve">escribe código que parece correcto</w:t>
      </w:r>
      <w:r>
        <w:t xml:space="preserve"> y emite ciento una consultas donde debía emitir dos, o que modifica un objeto y no entiende por qué eso disparó cinco sentencias.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 cuatro decisiones de diseño del capítulo</w:t>
            </w:r>
          </w:p>
        </w:tc>
        <w:tc>
          <w:tcPr>
            <w:tcW w:type="dxa" w:w="5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1. El almacén durable es uno solo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PostgreSQL es el único almacén durable; </w:t>
            </w:r>
            <w:r>
              <w:rPr>
                <w:b/>
                <w:bCs/>
                <w:sz w:val="19"/>
                <w:szCs w:val="19"/>
              </w:rPr>
              <w:t xml:space="preserve">Redis es efímero</w:t>
            </w:r>
            <w:r>
              <w:rPr>
                <w:sz w:val="19"/>
                <w:szCs w:val="19"/>
              </w:rPr>
              <w:t xml:space="preserve">. Ningún dato de negocio vive sólo en Redis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2. Las garantías se declaran en la base cuando se puede</w:t>
            </w:r>
          </w:p>
        </w:tc>
        <w:tc>
          <w:tcPr>
            <w:tcW w:type="dxa" w:w="5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Una restricción que el motor impone no depende de que ningún programa se acuerde.</w:t>
            </w:r>
            <w:r>
              <w:rPr>
                <w:sz w:val="19"/>
                <w:szCs w:val="19"/>
              </w:rPr>
              <w:t xml:space="preserve"> Es el mismo principio que atraviesa todo el material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3. Lo que la base no puede garantizar, lo garantiza una prueba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la frase del TPI sobre las redundancias. </w:t>
            </w:r>
            <w:r>
              <w:rPr>
                <w:b/>
                <w:bCs/>
                <w:sz w:val="19"/>
                <w:szCs w:val="19"/>
              </w:rPr>
              <w:t xml:space="preserve">No hay una tercera opción llamada «tener cuidado»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4. El esquema es código versionado</w:t>
            </w:r>
          </w:p>
        </w:tc>
        <w:tc>
          <w:tcPr>
            <w:tcW w:type="dxa" w:w="5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Las migraciones viven en el repositorio, </w:t>
            </w:r>
            <w:r>
              <w:rPr>
                <w:b/>
                <w:bCs/>
                <w:sz w:val="19"/>
                <w:szCs w:val="19"/>
              </w:rPr>
              <w:t xml:space="preserve">se revisan</w:t>
            </w:r>
            <w:r>
              <w:rPr>
                <w:sz w:val="19"/>
                <w:szCs w:val="19"/>
              </w:rPr>
              <w:t xml:space="preserve"> y se aplican en orden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4.3 — De las actividades 5 y 6 al esquema</w:t>
      </w:r>
    </w:p>
    <w:p>
      <w:pPr>
        <w:spacing w:after="140" w:line="300"/>
      </w:pPr>
      <w:r>
        <w:t xml:space="preserve">Acá se cobra lo que ya saben. Las tres relaciones que estudiaron en POO tienen traducción al esquema, y </w:t>
      </w:r>
      <w:r>
        <w:rPr>
          <w:b/>
          <w:bCs/>
        </w:rPr>
        <w:t xml:space="preserve">la diferencia entre ellas no está en la clave foránea sino en qué pasa al borrar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4.1 </w:t>
      </w:r>
      <w:r>
        <w:rPr>
          <w:i/>
          <w:iCs/>
          <w:color w:val="5A6472"/>
          <w:sz w:val="18"/>
          <w:szCs w:val="18"/>
        </w:rPr>
        <w:t xml:space="preserve">— Las tres relaciones de POO traducidas al esquema, y qué las diferencia.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Pedido(SQLModel, table=True):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id: int | None = Field(default=None, primary_key=True)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usuario_id: int = Field(foreign_key="usuario.id")   # la FK vive acá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detalle que confunde a todo el que viene de objetos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clave foránea va del lado «muchos», que es el contrario al que uno esperaría.</w:t>
            </w:r>
          </w:p>
          <w:p>
            <w:pPr>
              <w:spacing w:after="110" w:line="290"/>
            </w:pPr>
            <w:r>
              <w:t xml:space="preserve">En tu cabeza —y en el diagrama de clases— el usuario </w:t>
            </w:r>
            <w:r>
              <w:rPr>
                <w:i/>
                <w:iCs/>
              </w:rPr>
              <w:t xml:space="preserve">tiene</w:t>
            </w:r>
            <w:r>
              <w:t xml:space="preserve"> una lista de pedidos. Parece que la relación viviera en el usuario. </w:t>
            </w:r>
            <w:r>
              <w:rPr>
                <w:b/>
                <w:bCs/>
              </w:rPr>
              <w:t xml:space="preserve">En la base es al revés: cada pedido guarda a quién pertenece.</w:t>
            </w:r>
            <w:r>
              <w:t xml:space="preserve"> La tabla de usuarios no sabe nada de pedidos.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¿Y por qué?</w:t>
            </w:r>
            <w:r>
              <w:t xml:space="preserve"> Porque una columna guarda </w:t>
            </w:r>
            <w:r>
              <w:rPr>
                <w:b/>
                <w:bCs/>
              </w:rPr>
              <w:t xml:space="preserve">un</w:t>
            </w:r>
            <w:r>
              <w:t xml:space="preserve"> valor, no una lista. Para que el usuario «tuviera» sus pedidos habría que guardar una cantidad variable de referencias en una fila, y </w:t>
            </w:r>
            <w:r>
              <w:rPr>
                <w:b/>
                <w:bCs/>
              </w:rPr>
              <w:t xml:space="preserve">eso el modelo relacional no lo hace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El ORM después te deja escribir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usuario.pedidos</w:t>
            </w:r>
            <w:r>
              <w:t xml:space="preserve"> y parece que la lista estuviera ahí. </w:t>
            </w:r>
            <w:r>
              <w:rPr>
                <w:b/>
                <w:bCs/>
              </w:rPr>
              <w:t xml:space="preserve">No está: es una consulta</w:t>
            </w:r>
            <w:r>
              <w:t xml:space="preserve"> que va a buscar los pedidos cuyo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usuario_id</w:t>
            </w:r>
            <w:r>
              <w:t xml:space="preserve"> coincide. Y por eso hay que declararla — otra vez EA-05.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4.4 — SQLModel: qué une, y qué no conviene unir</w:t>
      </w:r>
    </w:p>
    <w:p>
      <w:pPr>
        <w:spacing w:after="140" w:line="300"/>
      </w:pPr>
      <w:r>
        <w:t xml:space="preserve">El Capítulo 2 declaró modelos con Pydantic para validar peticiones. Este capítulo necesita modelos que </w:t>
      </w:r>
      <w:r>
        <w:rPr>
          <w:b/>
          <w:bCs/>
        </w:rPr>
        <w:t xml:space="preserve">representen tablas</w:t>
      </w:r>
      <w:r>
        <w:t xml:space="preserve">. </w:t>
      </w:r>
      <w:r>
        <w:rPr>
          <w:b/>
          <w:bCs/>
        </w:rPr>
        <w:t xml:space="preserve">SQLModel</w:t>
      </w:r>
      <w:r>
        <w:t xml:space="preserve"> —publicado en 2021 por el mismo autor del marco de trabajo— une las dos cosas: un modelo de SQLModel </w:t>
      </w:r>
      <w:r>
        <w:rPr>
          <w:b/>
          <w:bCs/>
        </w:rPr>
        <w:t xml:space="preserve">es</w:t>
      </w:r>
      <w:r>
        <w:t xml:space="preserve"> un modelo de Pydantic </w:t>
      </w:r>
      <w:r>
        <w:rPr>
          <w:b/>
          <w:bCs/>
        </w:rPr>
        <w:t xml:space="preserve">y</w:t>
      </w:r>
      <w:r>
        <w:t xml:space="preserve"> una tabla de SQLAlchemy. El parámetro </w:t>
      </w:r>
      <w:r>
        <w:rPr>
          <w:rFonts w:ascii="Consolas" w:cs="Consolas" w:eastAsia="Consolas" w:hAnsi="Consolas"/>
          <w:sz w:val="19"/>
          <w:szCs w:val="19"/>
        </w:rPr>
        <w:t xml:space="preserve">table=True</w:t>
      </w:r>
      <w:r>
        <w:t xml:space="preserve"> es el que hace la diferencia.</w:t>
      </w:r>
    </w:p>
    <w:p>
      <w:pPr>
        <w:spacing w:after="140" w:line="300"/>
      </w:pPr>
      <w:r>
        <w:t xml:space="preserve">Y acá conviene una advertencia que evita un error frecuente: </w:t>
      </w:r>
      <w:r>
        <w:rPr>
          <w:b/>
          <w:bCs/>
        </w:rPr>
        <w:t xml:space="preserve">que se puedan unir no significa que convenga usar el mismo modelo para todo.</w:t>
      </w:r>
      <w:r>
        <w:t xml:space="preserve"> El modelo de tabla y los schemas de entrada y salida </w:t>
      </w:r>
      <w:r>
        <w:rPr>
          <w:b/>
          <w:bCs/>
        </w:rPr>
        <w:t xml:space="preserve">siguen siendo cosas distintas</w:t>
      </w:r>
      <w:r>
        <w:t xml:space="preserve">, por las tres razones de la sección 2.5. Lo que SQLModel evita es </w:t>
      </w:r>
      <w:r>
        <w:rPr>
          <w:b/>
          <w:bCs/>
        </w:rPr>
        <w:t xml:space="preserve">reescribir los campos comunes</w:t>
      </w:r>
      <w:r>
        <w:t xml:space="preserve">, no la segregación.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ProductoBase(SQLModel):                    # sin table=True: sólo campos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nombre: str = Field(max_length=120)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precio: Decimal = Field(max_digits=10, decimal_places=2)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Producto(ProductoBase, table=True):        # LA TABLA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id: int | None = Field(default=None, primary_key=True)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costo_interno: Decimal                        # sólo en la tabla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deleted_at: datetime | None = Field(default=None)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ProductoCreate(ProductoBase):               # entrada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categoria_id: 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ProductoPublic(ProductoBase):               # salida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id: int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Fijate qué campo está en cuál.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costo_interno</w:t>
      </w:r>
      <w:r>
        <w:t xml:space="preserve"> vive </w:t>
      </w:r>
      <w:r>
        <w:rPr>
          <w:b/>
          <w:bCs/>
        </w:rPr>
        <w:t xml:space="preserve">sólo en la tabla</w:t>
      </w:r>
      <w:r>
        <w:t xml:space="preserve">: no entra por </w:t>
      </w:r>
      <w:r>
        <w:rPr>
          <w:rFonts w:ascii="Consolas" w:cs="Consolas" w:eastAsia="Consolas" w:hAnsi="Consolas"/>
          <w:sz w:val="19"/>
          <w:szCs w:val="19"/>
        </w:rPr>
        <w:t xml:space="preserve">ProductoCreate</w:t>
      </w:r>
      <w:r>
        <w:t xml:space="preserve"> y no sale por </w:t>
      </w:r>
      <w:r>
        <w:rPr>
          <w:rFonts w:ascii="Consolas" w:cs="Consolas" w:eastAsia="Consolas" w:hAnsi="Consolas"/>
          <w:sz w:val="19"/>
          <w:szCs w:val="19"/>
        </w:rPr>
        <w:t xml:space="preserve">ProductoPublic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deleted_at</w:t>
      </w:r>
      <w:r>
        <w:t xml:space="preserve"> tampoco sale. Y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 no está en la entrada, </w:t>
      </w:r>
      <w:r>
        <w:rPr>
          <w:b/>
          <w:bCs/>
        </w:rPr>
        <w:t xml:space="preserve">porque lo asigna la base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la herencia ahorra tipeo y trae una trampa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Si agregás un campo a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ProductoBase</w:t>
            </w:r>
            <w:r>
              <w:rPr>
                <w:b/>
                <w:bCs/>
              </w:rPr>
              <w:t xml:space="preserve">, aparece en los tres lugares a la vez.</w:t>
            </w:r>
          </w:p>
          <w:p>
            <w:pPr>
              <w:spacing w:after="110" w:line="290"/>
            </w:pPr>
            <w:r>
              <w:t xml:space="preserve">Hoy agregás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costo_proveedor</w:t>
            </w:r>
            <w:r>
              <w:t xml:space="preserve"> a la base porque lo necesitás en la tabla. Y sin darte cuenta acabás de hacer </w:t>
            </w:r>
            <w:r>
              <w:rPr>
                <w:b/>
                <w:bCs/>
              </w:rPr>
              <w:t xml:space="preserve">dos cosas más</w:t>
            </w:r>
            <w:r>
              <w:t xml:space="preserve">: </w:t>
            </w:r>
            <w:r>
              <w:rPr>
                <w:b/>
                <w:bCs/>
              </w:rPr>
              <w:t xml:space="preserve">el cliente ahora lo puede mandar</w:t>
            </w:r>
            <w:r>
              <w:t xml:space="preserve"> —está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</w:t>
            </w:r>
            <w:r>
              <w:t xml:space="preserve">— y </w:t>
            </w:r>
            <w:r>
              <w:rPr>
                <w:b/>
                <w:bCs/>
              </w:rPr>
              <w:t xml:space="preserve">el cliente ahora lo puede ver</w:t>
            </w:r>
            <w:r>
              <w:t xml:space="preserve"> —está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</w:t>
            </w:r>
            <w:r>
              <w:t xml:space="preserve">—.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No hay error, no hay advertencia.</w:t>
            </w:r>
            <w:r>
              <w:t xml:space="preserve"> El campo simplemente empieza a viajar en las dos direcciones.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regla: a la base van sólo los campos que van en los tres.</w:t>
            </w:r>
            <w:r>
              <w:t xml:space="preserve"> Todo lo demás se declara en el modelo que corresponde. Si dudás, ponelo en la tabla y agregalo después donde haga falta — </w:t>
            </w:r>
            <w:r>
              <w:rPr>
                <w:b/>
                <w:bCs/>
              </w:rPr>
              <w:t xml:space="preserve">el error de que falte se ve enseguida; el de que sobre, no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4.5 — El motor y la sesión</w:t>
      </w:r>
    </w:p>
    <w:p>
      <w:pPr>
        <w:spacing w:after="140" w:line="300"/>
      </w:pPr>
      <w:r>
        <w:t xml:space="preserve">Acá se cobran dos reglas de la clase anterior, y </w:t>
      </w:r>
      <w:r>
        <w:rPr>
          <w:b/>
          <w:bCs/>
        </w:rPr>
        <w:t xml:space="preserve">las dos son una línea de código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EA-08: se crean en el ciclo de vida, ni por petición ni a nivel de módulo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engine = create_async_engine(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settings.DATABASE_URL,          # postgresql+psycopg://...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pool_size=settings.DB_POOL_SIZE,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pool_timeout=settings.DB_POOL_TIMEOUT,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EA-04: expire_on_commit=False, y no es una optimización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async_session = async_sessionmaker(engine, expire_on_commit=False,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class_=AsyncSession)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Un detalle del TPI que conviene notar: </w:t>
      </w:r>
      <w:r>
        <w:rPr>
          <w:b/>
          <w:bCs/>
        </w:rPr>
        <w:t xml:space="preserve">la dirección de la base declara el dialecto asincrónico</w:t>
      </w:r>
      <w:r>
        <w:t xml:space="preserve"> —</w:t>
      </w:r>
      <w:r>
        <w:rPr>
          <w:rFonts w:ascii="Consolas" w:cs="Consolas" w:eastAsia="Consolas" w:hAnsi="Consolas"/>
          <w:sz w:val="19"/>
          <w:szCs w:val="19"/>
        </w:rPr>
        <w:t xml:space="preserve">postgresql+psycopg://</w:t>
      </w:r>
      <w:r>
        <w:t xml:space="preserve">— y a partir de ahí el motor elige solo la variante correcta. </w:t>
      </w:r>
      <w:r>
        <w:rPr>
          <w:b/>
          <w:bCs/>
        </w:rPr>
        <w:t xml:space="preserve">Es EA-03 expresada en configuración.</w:t>
      </w:r>
    </w:p>
    <w:p>
      <w:pPr>
        <w:spacing w:after="140" w:line="300"/>
      </w:pPr>
      <w:r>
        <w:t xml:space="preserve">Sobre </w:t>
      </w:r>
      <w:r>
        <w:rPr>
          <w:rFonts w:ascii="Consolas" w:cs="Consolas" w:eastAsia="Consolas" w:hAnsi="Consolas"/>
          <w:sz w:val="19"/>
          <w:szCs w:val="19"/>
        </w:rPr>
        <w:t xml:space="preserve">pool_size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pool_timeout</w:t>
      </w:r>
      <w:r>
        <w:t xml:space="preserve">, la sección 3.11 ya explicó por qué son </w:t>
      </w:r>
      <w:r>
        <w:rPr>
          <w:b/>
          <w:bCs/>
        </w:rPr>
        <w:t xml:space="preserve">variables declaradas y no valores por defecto</w:t>
      </w:r>
      <w:r>
        <w:t xml:space="preserve">: con corrutinas, el techo natural que ponía el grupo de hilos desapareció, y </w:t>
      </w:r>
      <w:r>
        <w:rPr>
          <w:b/>
          <w:bCs/>
        </w:rPr>
        <w:t xml:space="preserve">el pool es el primer recurso que se agota</w:t>
      </w:r>
      <w:r>
        <w:t xml:space="preserve">.</w:t>
      </w:r>
    </w:p>
    <w:p>
      <w:pPr>
        <w:spacing w:after="140" w:line="300"/>
      </w:pPr>
      <w:r>
        <w:t xml:space="preserve">Y sobre </w:t>
      </w:r>
      <w:r>
        <w:rPr>
          <w:rFonts w:ascii="Consolas" w:cs="Consolas" w:eastAsia="Consolas" w:hAnsi="Consolas"/>
          <w:sz w:val="19"/>
          <w:szCs w:val="19"/>
        </w:rPr>
        <w:t xml:space="preserve">expire_on_commit=False</w:t>
      </w:r>
      <w:r>
        <w:t xml:space="preserve">, vale la pena ver </w:t>
      </w:r>
      <w:r>
        <w:rPr>
          <w:b/>
          <w:bCs/>
        </w:rPr>
        <w:t xml:space="preserve">el caso concreto que evita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pedido = await uow.pedidos.crear(datos)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uow.commit()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PedidoResponse(id=pedido.id, total=pedido.total)   # ← acá explotaría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Con el valor por defecto, </w:t>
      </w:r>
      <w:r>
        <w:rPr>
          <w:b/>
          <w:bCs/>
        </w:rPr>
        <w:t xml:space="preserve">el commit marca el objeto como expirado</w:t>
      </w:r>
      <w:r>
        <w:t xml:space="preserve">. Esa lectura de </w:t>
      </w:r>
      <w:r>
        <w:rPr>
          <w:rFonts w:ascii="Consolas" w:cs="Consolas" w:eastAsia="Consolas" w:hAnsi="Consolas"/>
          <w:sz w:val="19"/>
          <w:szCs w:val="19"/>
        </w:rPr>
        <w:t xml:space="preserve">pedido.id</w:t>
      </w:r>
      <w:r>
        <w:t xml:space="preserve"> intentaría ir a buscar el dato de nuevo, </w:t>
      </w:r>
      <w:r>
        <w:rPr>
          <w:b/>
          <w:bCs/>
        </w:rPr>
        <w:t xml:space="preserve">desde una línea común sin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await</w:t>
      </w:r>
      <w:r>
        <w:t xml:space="preserve">, y ahí </w:t>
      </w:r>
      <w:r>
        <w:rPr>
          <w:b/>
          <w:bCs/>
        </w:rPr>
        <w:t xml:space="preserve">no hay a dónde saltar</w:t>
      </w:r>
      <w:r>
        <w:t xml:space="preserve">: es exactamente la situación de la sección 3.8. Con </w:t>
      </w:r>
      <w:r>
        <w:rPr>
          <w:rFonts w:ascii="Consolas" w:cs="Consolas" w:eastAsia="Consolas" w:hAnsi="Consolas"/>
          <w:sz w:val="19"/>
          <w:szCs w:val="19"/>
        </w:rPr>
        <w:t xml:space="preserve">False</w:t>
      </w:r>
      <w:r>
        <w:t xml:space="preserve">, el objeto conserva sus valores y </w:t>
      </w:r>
      <w:r>
        <w:rPr>
          <w:b/>
          <w:bCs/>
        </w:rPr>
        <w:t xml:space="preserve">la lectura es un acceso a memoria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Y por qué el valor por defecto es True, que no es un capricho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En un mundo sincrónico tiene todo el sentido.</w:t>
            </w:r>
            <w:r>
              <w:t xml:space="preserve"> Después de un commit, otra transacción pudo haber cambiado esos datos. Expirar el objeto garantiza que la próxima lectura traiga </w:t>
            </w:r>
            <w:r>
              <w:rPr>
                <w:b/>
                <w:bCs/>
              </w:rPr>
              <w:t xml:space="preserve">lo que hay en la base ahora</w:t>
            </w:r>
            <w:r>
              <w:t xml:space="preserve">, y no lo que había antes. Es una decisión conservadora y correcta.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Lo que cambia en asincrónico no es la conveniencia: es la posibilidad.</w:t>
            </w:r>
            <w:r>
              <w:t xml:space="preserve"> Esa relectura implícita necesita emitir una consulta, y como ocurre en una línea común sin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</w:t>
            </w:r>
            <w:r>
              <w:t xml:space="preserve">, </w:t>
            </w:r>
            <w:r>
              <w:rPr>
                <w:b/>
                <w:bCs/>
              </w:rPr>
              <w:t xml:space="preserve">no tiene desde dónde hacerlo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O sea: el valor por defecto </w:t>
            </w:r>
            <w:r>
              <w:rPr>
                <w:b/>
                <w:bCs/>
              </w:rPr>
              <w:t xml:space="preserve">no es un error de la biblioteca</w:t>
            </w:r>
            <w:r>
              <w:t xml:space="preserve">. Es una opción pensada para otro modelo de ejecución, </w:t>
            </w:r>
            <w:r>
              <w:rPr>
                <w:b/>
                <w:bCs/>
              </w:rPr>
              <w:t xml:space="preserve">que en este directamente no funciona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de ahí sale un criterio general que te va a servir: </w:t>
            </w:r>
            <w:r>
              <w:rPr>
                <w:b/>
                <w:bCs/>
              </w:rPr>
              <w:t xml:space="preserve">cuando una biblioteca soporta dos modelos de ejecución, sus valores por defecto suelen estar pensados para el más viejo. Revisalos.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4.6 — Relaciones y carga anticipada</w:t>
      </w:r>
    </w:p>
    <w:p>
      <w:pPr>
        <w:spacing w:after="140" w:line="300"/>
      </w:pPr>
      <w:r>
        <w:t xml:space="preserve">Las relaciones se declaran </w:t>
      </w:r>
      <w:r>
        <w:rPr>
          <w:b/>
          <w:bCs/>
        </w:rPr>
        <w:t xml:space="preserve">en los dos extremos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Pedido(SQLModel, table=True):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usuario_id: int = Field(foreign_key="usuario.id")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usuario: "Usuario" = Relationship(back_populates="pedidos")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detalles: list["DetallePedido"] = Relationship(back_populates="pedido")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Usuario(SQLModel, table=True):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pedidos: list["Pedido"] = Relationship(back_populates="usuario")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rFonts w:ascii="Consolas" w:cs="Consolas" w:eastAsia="Consolas" w:hAnsi="Consolas"/>
          <w:sz w:val="19"/>
          <w:szCs w:val="19"/>
        </w:rPr>
        <w:t xml:space="preserve">back_populates</w:t>
      </w:r>
      <w:r>
        <w:t xml:space="preserve"> le dice al ORM que esos dos atributos son </w:t>
      </w:r>
      <w:r>
        <w:rPr>
          <w:b/>
          <w:bCs/>
        </w:rPr>
        <w:t xml:space="preserve">los dos lados de la misma relación</w:t>
      </w:r>
      <w:r>
        <w:t xml:space="preserve">, de modo que agregar un pedido a la lista del usuario también completa el </w:t>
      </w:r>
      <w:r>
        <w:rPr>
          <w:rFonts w:ascii="Consolas" w:cs="Consolas" w:eastAsia="Consolas" w:hAnsi="Consolas"/>
          <w:sz w:val="19"/>
          <w:szCs w:val="19"/>
        </w:rPr>
        <w:t xml:space="preserve">usuario</w:t>
      </w:r>
      <w:r>
        <w:t xml:space="preserve"> del pedido. </w:t>
      </w:r>
      <w:r>
        <w:rPr>
          <w:b/>
          <w:bCs/>
        </w:rPr>
        <w:t xml:space="preserve">Sin eso, los dos lados pueden quedar inconsistentes en memoria.</w:t>
      </w:r>
    </w:p>
    <w:p>
      <w:pPr>
        <w:spacing w:after="140" w:line="300"/>
      </w:pPr>
      <w:r>
        <w:t xml:space="preserve">Ahora bien: </w:t>
      </w:r>
      <w:r>
        <w:rPr>
          <w:b/>
          <w:bCs/>
        </w:rPr>
        <w:t xml:space="preserve">declarar la relación no la carga.</w:t>
      </w:r>
      <w:r>
        <w:t xml:space="preserve"> Y acá aparece EA-05 en código.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El repositorio DECLARA qué relaciones va a necesitar la respuesta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obtener_con_detalles(self, pedido_id: int) -&gt; Pedido |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consulta = 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select(Pedido)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.where(Pedido.id == pedido_id)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.options(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selectinload(Pedido.detalles),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selectinload(Pedido.usuario),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(await self.session.exec(consulta)).first()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dónde vive esa declaración es una decisión de arquitectura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precarga se declara en el repositorio, no en el Service ni en la vista.</w:t>
            </w:r>
          </w:p>
          <w:p>
            <w:pPr>
              <w:spacing w:after="110" w:line="290"/>
            </w:pPr>
            <w:r>
              <w:t xml:space="preserve">Y tiene lógica: </w:t>
            </w:r>
            <w:r>
              <w:rPr>
                <w:b/>
                <w:bCs/>
              </w:rPr>
              <w:t xml:space="preserve">el repositorio es el único que sabe cómo se traen los datos.</w:t>
            </w:r>
            <w:r>
              <w:t xml:space="preserve"> El Service dice </w:t>
            </w:r>
            <w:r>
              <w:rPr>
                <w:i/>
                <w:iCs/>
              </w:rPr>
              <w:t xml:space="preserve">qué</w:t>
            </w:r>
            <w:r>
              <w:t xml:space="preserve"> necesita —«dame el pedido con sus líneas»— y el repositorio decide </w:t>
            </w:r>
            <w:r>
              <w:rPr>
                <w:b/>
                <w:bCs/>
              </w:rPr>
              <w:t xml:space="preserve">cómo lo trae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Eso tiene una consecuencia práctica que vale oro: </w:t>
            </w:r>
            <w:r>
              <w:rPr>
                <w:b/>
                <w:bCs/>
              </w:rPr>
              <w:t xml:space="preserve">cuando te explota una excepción de greenlet, ya sabés dónde mirar.</w:t>
            </w:r>
            <w:r>
              <w:t xml:space="preserve"> No es en la vista, no es en el Service: </w:t>
            </w:r>
            <w:r>
              <w:rPr>
                <w:b/>
                <w:bCs/>
              </w:rPr>
              <w:t xml:space="preserve">es en el método del repositorio que trajo ese objeto, y le falta una línea.</w:t>
            </w:r>
          </w:p>
          <w:p>
            <w:pPr>
              <w:spacing w:after="110" w:line="290"/>
            </w:pPr>
            <w:r>
              <w:t xml:space="preserve">Es el mismo principio de las capas de la clase 1: </w:t>
            </w:r>
            <w:r>
              <w:rPr>
                <w:b/>
                <w:bCs/>
              </w:rPr>
              <w:t xml:space="preserve">cada cosa en el lugar donde se sabe lo que hace falta saber.</w:t>
            </w:r>
            <w:r>
              <w:t xml:space="preserve"> Si la precarga se declarara en el Service, el Service tendría que conocer detalles del acceso a datos — y ahí se rompe el flujo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Router → Service → UoW → Repository → Model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4.3 </w:t>
      </w:r>
      <w:r>
        <w:rPr>
          <w:i/>
          <w:iCs/>
          <w:color w:val="5A6472"/>
          <w:sz w:val="18"/>
          <w:szCs w:val="18"/>
        </w:rPr>
        <w:t xml:space="preserve">— Carga perezosa y anticipada: las consultas que emite cada una, y las dos estrategias.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dale vuelta la lectura antes de escribir tu primer repositorio</w:t>
            </w:r>
          </w:p>
          <w:p>
            <w:pPr>
              <w:spacing w:after="110" w:line="290"/>
            </w:pPr>
            <w:r>
              <w:t xml:space="preserve">Al principio esto se siente como un castigo: estás escribiendo un endpoint y </w:t>
            </w:r>
            <w:r>
              <w:rPr>
                <w:b/>
                <w:bCs/>
              </w:rPr>
              <w:t xml:space="preserve">te explota una excepción con un nombre que no dice nada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sincrónico no te avisa nunca.</w:t>
            </w:r>
            <w:r>
              <w:t xml:space="preserve"> Te deja mandar a producción un endpoint que emite ciento una consultas, y te enterás </w:t>
            </w:r>
            <w:r>
              <w:rPr>
                <w:b/>
                <w:bCs/>
              </w:rPr>
              <w:t xml:space="preserve">dentro de seis meses</w:t>
            </w:r>
            <w:r>
              <w:t xml:space="preserve">, cuando ya hay diez mil pedidos y nadie se acuerda de quién escribió eso.</w:t>
            </w:r>
          </w:p>
          <w:p>
            <w:pPr>
              <w:spacing w:after="110" w:line="290"/>
            </w:pPr>
            <w:r>
              <w:t xml:space="preserve">Acá el problema aparece </w:t>
            </w:r>
            <w:r>
              <w:rPr>
                <w:b/>
                <w:bCs/>
              </w:rPr>
              <w:t xml:space="preserve">en tu máquina, con tres registros de prueba, el día que lo escribís.</w:t>
            </w:r>
            <w:r>
              <w:t xml:space="preserve"> Es </w:t>
            </w:r>
            <w:r>
              <w:rPr>
                <w:b/>
                <w:bCs/>
              </w:rPr>
              <w:t xml:space="preserve">el mejor momento posible</w:t>
            </w:r>
            <w:r>
              <w:t xml:space="preserve"> para enterarse.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4.7 — Los tres dominios</w:t>
      </w:r>
    </w:p>
    <w:p>
      <w:pPr>
        <w:spacing w:after="140" w:line="300"/>
      </w:pPr>
      <w:r>
        <w:t xml:space="preserve">El TPI organiza sus </w:t>
      </w:r>
      <w:r>
        <w:rPr>
          <w:b/>
          <w:bCs/>
        </w:rPr>
        <w:t xml:space="preserve">veintitrés entidades</w:t>
      </w:r>
      <w:r>
        <w:t xml:space="preserve"> en tres dominios, y esa división </w:t>
      </w:r>
      <w:r>
        <w:rPr>
          <w:b/>
          <w:bCs/>
        </w:rPr>
        <w:t xml:space="preserve">no es sólo de presentación: agrupa cosas que cambian juntas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qué trata</w:t>
            </w:r>
          </w:p>
        </w:tc>
        <w:tc>
          <w:tcPr>
            <w:tcW w:type="dxa" w:w="3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Entidades características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Identidad y acceso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Quién es quién y qué puede hacer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UsuarioRol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DireccionEntrega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IntentoAcceso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Catálogo y stock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se vende y cuánto hay</w:t>
            </w:r>
          </w:p>
        </w:tc>
        <w:tc>
          <w:tcPr>
            <w:tcW w:type="dxa" w:w="3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Ingrediente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MovimientoStock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Ventas y trazabilidad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se vendió y qué pasó con eso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Pedido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DetallePedido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HistorialEstadoPedido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A eso se suman las </w:t>
      </w:r>
      <w:r>
        <w:rPr>
          <w:b/>
          <w:bCs/>
        </w:rPr>
        <w:t xml:space="preserve">cinco tablas catálogo</w:t>
      </w:r>
      <w:r>
        <w:t xml:space="preserve"> —roles, estados de pedido, formas de pago, modalidades de entrega y unidades—, que merecen un comentario </w:t>
      </w:r>
      <w:r>
        <w:rPr>
          <w:b/>
          <w:bCs/>
        </w:rPr>
        <w:t xml:space="preserve">porque su existencia es una decisión</w:t>
      </w:r>
      <w:r>
        <w:t xml:space="preserve">.</w:t>
      </w:r>
    </w:p>
    <w:p>
      <w:pPr>
        <w:spacing w:after="140" w:line="300"/>
      </w:pPr>
      <w:r>
        <w:t xml:space="preserve">Un estado de pedido </w:t>
      </w:r>
      <w:r>
        <w:rPr>
          <w:b/>
          <w:bCs/>
        </w:rPr>
        <w:t xml:space="preserve">podría ser</w:t>
      </w:r>
      <w:r>
        <w:t xml:space="preserve"> una columna de texto, o una enumeración del lenguaje. El TPI lo modela como </w:t>
      </w:r>
      <w:r>
        <w:rPr>
          <w:b/>
          <w:bCs/>
        </w:rPr>
        <w:t xml:space="preserve">una tabla</w:t>
      </w:r>
      <w:r>
        <w:t xml:space="preserve">, y eso permite algo que las otras dos opciones no: </w:t>
      </w:r>
      <w:r>
        <w:rPr>
          <w:b/>
          <w:bCs/>
        </w:rPr>
        <w:t xml:space="preserve">que el estado tenga atributos propios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EstadoPedido</w:t>
      </w:r>
      <w:r>
        <w:t xml:space="preserve"> tiene una columna </w:t>
      </w:r>
      <w:r>
        <w:rPr>
          <w:rFonts w:ascii="Consolas" w:cs="Consolas" w:eastAsia="Consolas" w:hAnsi="Consolas"/>
          <w:sz w:val="19"/>
          <w:szCs w:val="19"/>
        </w:rPr>
        <w:t xml:space="preserve">es_terminal</w:t>
      </w:r>
      <w:r>
        <w:t xml:space="preserve">, y </w:t>
      </w:r>
      <w:r>
        <w:rPr>
          <w:b/>
          <w:bCs/>
        </w:rPr>
        <w:t xml:space="preserve">RN-01 dice que un estado terminal no admite transiciones salientes</w:t>
      </w:r>
      <w:r>
        <w:t xml:space="preserve">. Con una enumeración del lenguaje, esa propiedad tendría que vivir en el código.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costo y el beneficio de modelar los catálogos como tablas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costo:</w:t>
            </w:r>
            <w:r>
              <w:t xml:space="preserve"> cada lectura de un pedido necesita también su estado, así que hay </w:t>
            </w:r>
            <w:r>
              <w:rPr>
                <w:b/>
                <w:bCs/>
              </w:rPr>
              <w:t xml:space="preserve">una relación más que precargar</w:t>
            </w:r>
            <w:r>
              <w:t xml:space="preserve">. Y agregar un estado nuevo exige </w:t>
            </w:r>
            <w:r>
              <w:rPr>
                <w:b/>
                <w:bCs/>
              </w:rPr>
              <w:t xml:space="preserve">una migración</w:t>
            </w:r>
            <w:r>
              <w:t xml:space="preserve">, no un cambio de código.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beneficio:</w:t>
            </w:r>
            <w:r>
              <w:t xml:space="preserve"> el estado </w:t>
            </w:r>
            <w:r>
              <w:rPr>
                <w:b/>
                <w:bCs/>
              </w:rPr>
              <w:t xml:space="preserve">tiene atributos propios</w:t>
            </w:r>
            <w:r>
              <w:t xml:space="preserve">. Con una enumeración del lenguaje, saber si un estado es terminal sería </w:t>
            </w:r>
            <w:r>
              <w:rPr>
                <w:b/>
                <w:bCs/>
              </w:rPr>
              <w:t xml:space="preserve">un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if</w:t>
            </w:r>
            <w:r>
              <w:rPr>
                <w:b/>
                <w:bCs/>
              </w:rPr>
              <w:t xml:space="preserve"> en algún lado</w:t>
            </w:r>
            <w:r>
              <w:t xml:space="preserve"> — y ese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</w:t>
            </w:r>
            <w:r>
              <w:t xml:space="preserve"> </w:t>
            </w:r>
            <w:r>
              <w:rPr>
                <w:b/>
                <w:bCs/>
              </w:rPr>
              <w:t xml:space="preserve">habría que repetirlo</w:t>
            </w:r>
            <w:r>
              <w:t xml:space="preserve"> en cada lugar que lo necesite.</w:t>
            </w:r>
          </w:p>
          <w:p>
            <w:pPr>
              <w:spacing w:after="110" w:line="290"/>
            </w:pPr>
            <w:r>
              <w:t xml:space="preserve">El criterio para decidir es </w:t>
            </w:r>
            <w:r>
              <w:rPr>
                <w:b/>
                <w:bCs/>
              </w:rPr>
              <w:t xml:space="preserve">una sola pregunta: ¿esto va a necesitar atributos además del nombre?</w:t>
            </w:r>
            <w:r>
              <w:t xml:space="preserve"> Si la respuesta es sí —o si no estás seguro— va como tabla. Si es un conjunto cerrado que sólo necesita distinguirse a sí mismo, una enumeración alcanza.</w:t>
            </w:r>
          </w:p>
          <w:p>
            <w:pPr>
              <w:spacing w:after="110" w:line="290"/>
            </w:pPr>
            <w:r>
              <w:t xml:space="preserve">Y ojo: los cinco catálogos </w:t>
            </w:r>
            <w:r>
              <w:rPr>
                <w:b/>
                <w:bCs/>
              </w:rPr>
              <w:t xml:space="preserve">también aparecen como enumeración en el frontend</w:t>
            </w:r>
            <w:r>
              <w:t xml:space="preserve">, porque del otro lado son valores cerrados de una unión literal. </w:t>
            </w:r>
            <w:r>
              <w:rPr>
                <w:b/>
                <w:bCs/>
              </w:rPr>
              <w:t xml:space="preserve">Los dos lados modelan lo mismo con la herramienta de su mundo.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4.8 — Normalización, y las cinco redundancias declaradas</w:t>
      </w:r>
    </w:p>
    <w:p>
      <w:pPr>
        <w:spacing w:after="140" w:line="300"/>
      </w:pPr>
      <w:r>
        <w:t xml:space="preserve">Todo curso de bases de datos enseña a normalizar: </w:t>
      </w:r>
      <w:r>
        <w:rPr>
          <w:b/>
          <w:bCs/>
        </w:rPr>
        <w:t xml:space="preserve">que cada dato viva en un solo lugar</w:t>
      </w:r>
      <w:r>
        <w:t xml:space="preserve">, de modo que no pueda haber dos versiones contradictorias. Es una regla excelente </w:t>
      </w:r>
      <w:r>
        <w:rPr>
          <w:b/>
          <w:bCs/>
        </w:rPr>
        <w:t xml:space="preserve">y este sistema la rompe cinco veces, a propósito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4.4 </w:t>
      </w:r>
      <w:r>
        <w:rPr>
          <w:i/>
          <w:iCs/>
          <w:color w:val="5A6472"/>
          <w:sz w:val="18"/>
          <w:szCs w:val="18"/>
        </w:rPr>
        <w:t xml:space="preserve">— Las cinco redundancias declaradas y qué sostiene a cada una.</w:t>
      </w:r>
    </w:p>
    <w:p>
      <w:pPr>
        <w:spacing w:after="140" w:line="300"/>
      </w:pPr>
      <w:r>
        <w:t xml:space="preserve">Las filas 4 y 5 muestran </w:t>
      </w:r>
      <w:r>
        <w:rPr>
          <w:b/>
          <w:bCs/>
        </w:rPr>
        <w:t xml:space="preserve">el criterio en acción</w:t>
      </w:r>
      <w:r>
        <w:t xml:space="preserve">. El monto del pago duplica el total del pedido, y esa igualdad </w:t>
      </w:r>
      <w:r>
        <w:rPr>
          <w:b/>
          <w:bCs/>
        </w:rPr>
        <w:t xml:space="preserve">no se puede expresar como una comprobación de la base porque cruza dos tablas</w:t>
      </w:r>
      <w:r>
        <w:t xml:space="preserve">: su garante es una prueba, y el TPI lo dice así. En la portada del producto, la parte que </w:t>
      </w:r>
      <w:r>
        <w:rPr>
          <w:b/>
          <w:bCs/>
        </w:rPr>
        <w:t xml:space="preserve">sí</w:t>
      </w:r>
      <w:r>
        <w:t xml:space="preserve"> es expresable —que exista una sola portada por producto— </w:t>
      </w:r>
      <w:r>
        <w:rPr>
          <w:b/>
          <w:bCs/>
        </w:rPr>
        <w:t xml:space="preserve">la impone un índice único</w:t>
      </w:r>
      <w:r>
        <w:t xml:space="preserve">; la parte que cruza tablas —que la dirección copiada coincida con la original— </w:t>
      </w:r>
      <w:r>
        <w:rPr>
          <w:b/>
          <w:bCs/>
        </w:rPr>
        <w:t xml:space="preserve">la sostiene una prueba</w:t>
      </w:r>
      <w:r>
        <w:t xml:space="preserve">.</w:t>
      </w:r>
    </w:p>
    <w:p>
      <w:pPr>
        <w:spacing w:after="140" w:line="300"/>
      </w:pPr>
      <w:r>
        <w:t xml:space="preserve">Fijate lo que eso significa: </w:t>
      </w:r>
      <w:r>
        <w:rPr>
          <w:b/>
          <w:bCs/>
        </w:rPr>
        <w:t xml:space="preserve">el TPI no elige entre restricción y prueba por comodidad</w:t>
      </w:r>
      <w:r>
        <w:t xml:space="preserve">. Usa la restricción </w:t>
      </w:r>
      <w:r>
        <w:rPr>
          <w:b/>
          <w:bCs/>
        </w:rPr>
        <w:t xml:space="preserve">siempre que sea expresable</w:t>
      </w:r>
      <w:r>
        <w:t xml:space="preserve">, y recurre a la prueba </w:t>
      </w:r>
      <w:r>
        <w:rPr>
          <w:b/>
          <w:bCs/>
        </w:rPr>
        <w:t xml:space="preserve">sólo donde la base no llega</w:t>
      </w:r>
      <w:r>
        <w:t xml:space="preserve">. Nunca deja el hueco.</w:t>
      </w:r>
    </w:p>
    <w:p>
      <w:pPr>
        <w:pStyle w:val="Heading1"/>
        <w:keepNext/>
        <w:spacing w:after="180" w:before="360"/>
      </w:pPr>
      <w:r>
        <w:t xml:space="preserve">4.9 — Borrado lógico: una enumeración taxativa</w:t>
      </w:r>
    </w:p>
    <w:p>
      <w:pPr>
        <w:spacing w:after="140" w:line="300"/>
      </w:pPr>
      <w:r>
        <w:t xml:space="preserve">El </w:t>
      </w:r>
      <w:r>
        <w:rPr>
          <w:b/>
          <w:bCs/>
        </w:rPr>
        <w:t xml:space="preserve">borrado lógico</w:t>
      </w:r>
      <w:r>
        <w:t xml:space="preserve"> consiste en no borrar: </w:t>
      </w:r>
      <w:r>
        <w:rPr>
          <w:b/>
          <w:bCs/>
        </w:rPr>
        <w:t xml:space="preserve">marcar la fila con una fecha de eliminación y filtrarla en las consultas</w:t>
      </w:r>
      <w:r>
        <w:t xml:space="preserve">. Se usa cuando el dato tiene valor histórico o cuando otras filas lo referencian.</w:t>
      </w:r>
    </w:p>
    <w:p>
      <w:pPr>
        <w:spacing w:after="140" w:line="300"/>
      </w:pPr>
      <w:r>
        <w:t xml:space="preserve">Y acá el TPI hace algo que conviene destacar antes que nada, </w:t>
      </w:r>
      <w:r>
        <w:rPr>
          <w:b/>
          <w:bCs/>
        </w:rPr>
        <w:t xml:space="preserve">porque es una lección de honestidad técnica</w:t>
      </w:r>
      <w:r>
        <w:t xml:space="preserve">: «La enumeración de esta sección </w:t>
      </w:r>
      <w:r>
        <w:rPr>
          <w:b/>
          <w:bCs/>
        </w:rPr>
        <w:t xml:space="preserve">es taxativa</w:t>
      </w:r>
      <w:r>
        <w:t xml:space="preserve">. Enunciar que </w:t>
      </w:r>
      <w:r>
        <w:rPr>
          <w:i/>
          <w:iCs/>
        </w:rPr>
        <w:t xml:space="preserve">todas las consultas filtran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deleted_at</w:t>
      </w:r>
      <w:r>
        <w:t xml:space="preserve"> </w:t>
      </w:r>
      <w:r>
        <w:rPr>
          <w:b/>
          <w:bCs/>
        </w:rPr>
        <w:t xml:space="preserve">sería falso</w:t>
      </w:r>
      <w:r>
        <w:t xml:space="preserve">.»</w:t>
      </w:r>
    </w:p>
    <w:p>
      <w:pPr>
        <w:spacing w:after="140" w:line="300"/>
      </w:pPr>
      <w:r>
        <w:rPr>
          <w:b/>
          <w:bCs/>
        </w:rPr>
        <w:t xml:space="preserve">En lugar de una regla cómoda y mentirosa, el documento enumera.</w:t>
      </w:r>
      <w:r>
        <w:t xml:space="preserve"> Cinco entidades tienen borrado lógico —usuario, dirección de entrega, categoría, producto e ingrediente—; </w:t>
      </w:r>
      <w:r>
        <w:rPr>
          <w:b/>
          <w:bCs/>
        </w:rPr>
        <w:t xml:space="preserve">dieciocho no lo tienen</w:t>
      </w:r>
      <w:r>
        <w:t xml:space="preserve">, y </w:t>
      </w:r>
      <w:r>
        <w:rPr>
          <w:b/>
          <w:bCs/>
        </w:rPr>
        <w:t xml:space="preserve">seis admiten borrado físico</w:t>
      </w:r>
      <w:r>
        <w:t xml:space="preserve">, cada una con su razón: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5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se puede borrar de verdad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ProductoCategoria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ProductoIngrediente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Ningún pedido las referencia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ProductoImagen</w:t>
            </w:r>
          </w:p>
        </w:tc>
        <w:tc>
          <w:tcPr>
            <w:tcW w:type="dxa" w:w="5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galería es del producto; </w:t>
            </w:r>
            <w:r>
              <w:rPr>
                <w:b/>
                <w:bCs/>
                <w:sz w:val="19"/>
                <w:szCs w:val="19"/>
              </w:rPr>
              <w:t xml:space="preserve">nada más la apunta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IntentoAcceso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ClaveIdempotencia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EventoSalida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Tienen </w:t>
            </w:r>
            <w:r>
              <w:rPr>
                <w:b/>
                <w:bCs/>
                <w:sz w:val="19"/>
                <w:szCs w:val="19"/>
              </w:rPr>
              <w:t xml:space="preserve">purgas de retención declaradas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frase que resume la política: </w:t>
      </w:r>
      <w:r>
        <w:rPr>
          <w:b/>
          <w:bCs/>
        </w:rPr>
        <w:t xml:space="preserve">«Las entidades de negocio no se borran nunca, y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UsuarioRol</w:t>
      </w:r>
      <w:r>
        <w:rPr>
          <w:b/>
          <w:bCs/>
        </w:rPr>
        <w:t xml:space="preserve"> tampoco: su baja es una revocación lógica.»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la distinción que vale para cualquier sistema que hagas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Hay datos que describen cómo son las cosas, y datos que registran qué pasó.</w:t>
            </w:r>
          </w:p>
          <w:p>
            <w:pPr>
              <w:spacing w:after="110" w:line="290"/>
            </w:pPr>
            <w:r>
              <w:t xml:space="preserve">Un producto </w:t>
            </w:r>
            <w:r>
              <w:rPr>
                <w:b/>
                <w:bCs/>
              </w:rPr>
              <w:t xml:space="preserve">describe</w:t>
            </w:r>
            <w:r>
              <w:t xml:space="preserve">: su precio es el de hoy, y si mañana cambia, el de hoy ya no importa. Se puede modificar y —con cuidado— se puede dar de baja.</w:t>
            </w:r>
          </w:p>
          <w:p>
            <w:pPr>
              <w:spacing w:after="110" w:line="290"/>
            </w:pPr>
            <w:r>
              <w:t xml:space="preserve">Un pedido </w:t>
            </w:r>
            <w:r>
              <w:rPr>
                <w:b/>
                <w:bCs/>
              </w:rPr>
              <w:t xml:space="preserve">registra</w:t>
            </w:r>
            <w:r>
              <w:t xml:space="preserve">: es el hecho de que alguien compró algo un martes a las ocho. </w:t>
            </w:r>
            <w:r>
              <w:rPr>
                <w:b/>
                <w:bCs/>
              </w:rPr>
              <w:t xml:space="preserve">Ese hecho ocurrió, y no hay ninguna operación futura que pueda hacer que no haya ocurrido.</w:t>
            </w:r>
            <w:r>
              <w:t xml:space="preserve"> Modificarlo no es corregir un dato: </w:t>
            </w:r>
            <w:r>
              <w:rPr>
                <w:b/>
                <w:bCs/>
              </w:rPr>
              <w:t xml:space="preserve">es falsificar la historia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Por eso el TPI no borra pedidos ni movimientos de stock, y por eso RN-03 dice que el historial es de </w:t>
            </w:r>
            <w:r>
              <w:rPr>
                <w:b/>
                <w:bCs/>
              </w:rPr>
              <w:t xml:space="preserve">sólo agregado</w:t>
            </w:r>
            <w:r>
              <w:t xml:space="preserve">. </w:t>
            </w:r>
            <w:r>
              <w:rPr>
                <w:b/>
                <w:bCs/>
              </w:rPr>
              <w:t xml:space="preserve">Cancelar un pedido no lo borra: agrega un registro que dice que se canceló.</w:t>
            </w:r>
          </w:p>
          <w:p>
            <w:pPr>
              <w:spacing w:after="110" w:line="290"/>
            </w:pPr>
            <w:r>
              <w:t xml:space="preserve">Cuando modeles algo, la pregunta es esa: </w:t>
            </w:r>
            <w:r>
              <w:rPr>
                <w:b/>
                <w:bCs/>
              </w:rPr>
              <w:t xml:space="preserve">¿esto describe o registra?</w:t>
            </w:r>
            <w:r>
              <w:t xml:space="preserve"> Lo que registra no se toca. Y si tenés que «corregir» un registro, </w:t>
            </w:r>
            <w:r>
              <w:rPr>
                <w:b/>
                <w:bCs/>
              </w:rPr>
              <w:t xml:space="preserve">lo correcto casi siempre es agregar otro que lo compense</w:t>
            </w:r>
            <w:r>
              <w:t xml:space="preserve">, no editar el que está.</w:t>
            </w:r>
          </w:p>
        </w:tc>
      </w:tr>
    </w:tbl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Las cinco excepciones de lectura, y por qué tres son de corrección</w:t>
      </w:r>
    </w:p>
    <w:p>
      <w:pPr>
        <w:spacing w:after="140" w:line="300"/>
      </w:pPr>
      <w:r>
        <w:t xml:space="preserve">El TPI enumera además </w:t>
      </w:r>
      <w:r>
        <w:rPr>
          <w:b/>
          <w:bCs/>
        </w:rPr>
        <w:t xml:space="preserve">cinco casos donde una consulta no filtra las filas borradas</w:t>
      </w:r>
      <w:r>
        <w:t xml:space="preserve"> —también taxativos—. Tres merecen comentario porque cada una enseña algo distinto: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excepción</w:t>
            </w:r>
          </w:p>
        </w:tc>
        <w:tc>
          <w:tcPr>
            <w:tcW w:type="dxa" w:w="6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no filtra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lectura histórica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 abrir un pedido viejo, la resolución del producto de cada línea no filtra: </w:t>
            </w:r>
            <w:r>
              <w:rPr>
                <w:b/>
                <w:bCs/>
                <w:sz w:val="19"/>
                <w:szCs w:val="19"/>
              </w:rPr>
              <w:t xml:space="preserve">un producto retirado del catálogo sigue siendo legible desde un pedido anterior</w:t>
            </w:r>
            <w:r>
              <w:rPr>
                <w:sz w:val="19"/>
                <w:szCs w:val="19"/>
              </w:rPr>
              <w:t xml:space="preserve">. Es la contracara de la primera redundancia — el snapshot conserva el nombre y el precio, y esta excepción permite además llegar al producto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confirmación de pedido</w:t>
            </w:r>
          </w:p>
        </w:tc>
        <w:tc>
          <w:tcPr>
            <w:tcW w:type="dxa" w:w="6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revalidación de stock consulta sin filtrar porque </w:t>
            </w:r>
            <w:r>
              <w:rPr>
                <w:b/>
                <w:bCs/>
                <w:sz w:val="19"/>
                <w:szCs w:val="19"/>
              </w:rPr>
              <w:t xml:space="preserve">necesita distinguir «eliminado» de «sin stock»</w:t>
            </w:r>
            <w:r>
              <w:rPr>
                <w:sz w:val="19"/>
                <w:szCs w:val="19"/>
              </w:rPr>
              <w:t xml:space="preserve"> para devolver el error correcto. Filtrar haría que un producto borrado se reportara como faltante, y </w:t>
            </w:r>
            <w:r>
              <w:rPr>
                <w:b/>
                <w:bCs/>
                <w:sz w:val="19"/>
                <w:szCs w:val="19"/>
              </w:rPr>
              <w:t xml:space="preserve">el usuario recibiría un mensaje equivocado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árbol de categorías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más sutil. El cálculo de profundidad recorre los ancestros sin filtrar porque —en palabras del TPI— </w:t>
            </w:r>
            <w:r>
              <w:rPr>
                <w:i/>
                <w:iCs/>
                <w:sz w:val="19"/>
                <w:szCs w:val="19"/>
              </w:rPr>
              <w:t xml:space="preserve">«si filtrara, una rama con un ancestro eliminado parecería más corta de lo que es y admitiría un nivel de más»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No es una excepción por comodidad: filtrar produciría un resultado incorrecto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 detalle final que conviene conocer: </w:t>
      </w:r>
      <w:r>
        <w:rPr>
          <w:b/>
          <w:bCs/>
        </w:rPr>
        <w:t xml:space="preserve">ninguna entidad con borrado lógico tiene endpoint de restauración.</w:t>
      </w:r>
      <w:r>
        <w:t xml:space="preserve"> Revertir un borrado accidental </w:t>
      </w:r>
      <w:r>
        <w:rPr>
          <w:b/>
          <w:bCs/>
        </w:rPr>
        <w:t xml:space="preserve">es una operación de base de datos</w:t>
      </w:r>
      <w:r>
        <w:t xml:space="preserve">, hecha a mano por quien tenga acceso.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un índice único común rompe el borrado lógico</w:t>
            </w:r>
          </w:p>
          <w:p>
            <w:pPr>
              <w:spacing w:after="110" w:line="290"/>
            </w:pPr>
            <w:r>
              <w:t xml:space="preserve">Esta trampa se descubre siempre tarde. Pensala:</w:t>
            </w:r>
          </w:p>
          <w:p>
            <w:pPr>
              <w:spacing w:after="110" w:line="290"/>
            </w:pPr>
            <w:r>
              <w:t xml:space="preserve">Tenés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UNIQUE(email)</w:t>
            </w:r>
            <w:r>
              <w:t xml:space="preserve"> en usuarios. Alguien se da de baja —su fila queda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deleted_at</w:t>
            </w:r>
            <w:r>
              <w:t xml:space="preserve"> cargado— y después </w:t>
            </w:r>
            <w:r>
              <w:rPr>
                <w:b/>
                <w:bCs/>
              </w:rPr>
              <w:t xml:space="preserve">quiere volver a registrarse con el mismo correo</w:t>
            </w:r>
            <w:r>
              <w:t xml:space="preserve">. </w:t>
            </w:r>
            <w:r>
              <w:rPr>
                <w:b/>
                <w:bCs/>
              </w:rPr>
              <w:t xml:space="preserve">La base lo rechaza</w:t>
            </w:r>
            <w:r>
              <w:t xml:space="preserve">, porque para el índice único </w:t>
            </w:r>
            <w:r>
              <w:rPr>
                <w:b/>
                <w:bCs/>
              </w:rPr>
              <w:t xml:space="preserve">esa fila sigue estando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el mensaje que te llega es </w:t>
            </w:r>
            <w:r>
              <w:rPr>
                <w:i/>
                <w:iCs/>
              </w:rPr>
              <w:t xml:space="preserve">«el email ya existe»</w:t>
            </w:r>
            <w:r>
              <w:t xml:space="preserve">, </w:t>
            </w:r>
            <w:r>
              <w:rPr>
                <w:b/>
                <w:bCs/>
              </w:rPr>
              <w:t xml:space="preserve">cuando en la aplicación ese usuario no existe</w:t>
            </w:r>
            <w:r>
              <w:t xml:space="preserve">. Vas a buscarlo, no aparece en ningún listado, y no entendés nada.</w:t>
            </w:r>
          </w:p>
          <w:p>
            <w:pPr>
              <w:spacing w:after="110" w:line="290"/>
            </w:pPr>
            <w:r>
              <w:t xml:space="preserve">La solución es un </w:t>
            </w:r>
            <w:r>
              <w:rPr>
                <w:b/>
                <w:bCs/>
              </w:rPr>
              <w:t xml:space="preserve">índice único parcial</w:t>
            </w:r>
            <w:r>
              <w:t xml:space="preserve">, que PostgreSQL sí soporta: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CREATE UNIQUE INDEX ux_usuario_email_activo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ON usuario (email) WHERE deleted_at IS NULL;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Así la unicidad aplica </w:t>
            </w:r>
            <w:r>
              <w:rPr>
                <w:b/>
                <w:bCs/>
              </w:rPr>
              <w:t xml:space="preserve">sólo entre los vivos</w:t>
            </w:r>
            <w:r>
              <w:t xml:space="preserve">. Por eso el TPI declara que usa índices únicos parciales, y por eso ese detalle está en el stack: </w:t>
            </w:r>
            <w:r>
              <w:rPr>
                <w:b/>
                <w:bCs/>
              </w:rPr>
              <w:t xml:space="preserve">no es un lujo, es lo que hace que el borrado lógico funcione.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4.10 — Índices y restricciones</w:t>
      </w:r>
    </w:p>
    <w:p>
      <w:pPr>
        <w:spacing w:after="140" w:line="300"/>
      </w:pPr>
      <w:r>
        <w:t xml:space="preserve">Un </w:t>
      </w:r>
      <w:r>
        <w:rPr>
          <w:b/>
          <w:bCs/>
        </w:rPr>
        <w:t xml:space="preserve">índice</w:t>
      </w:r>
      <w:r>
        <w:t xml:space="preserve"> es una estructura auxiliar que permite encontrar filas </w:t>
      </w:r>
      <w:r>
        <w:rPr>
          <w:b/>
          <w:bCs/>
        </w:rPr>
        <w:t xml:space="preserve">sin recorrer la tabla entera</w:t>
      </w:r>
      <w:r>
        <w:t xml:space="preserve">. El TPI declara </w:t>
      </w:r>
      <w:r>
        <w:rPr>
          <w:b/>
          <w:bCs/>
        </w:rPr>
        <w:t xml:space="preserve">treinta y uno, cada uno con su motivo</w:t>
      </w:r>
      <w:r>
        <w:t xml:space="preserve">, y esa enumeración explícita es coherente con el resto del documento: </w:t>
      </w:r>
      <w:r>
        <w:rPr>
          <w:b/>
          <w:bCs/>
        </w:rPr>
        <w:t xml:space="preserve">un índice sin motivo declarado es un costo sin beneficio conocido</w:t>
      </w:r>
      <w:r>
        <w:t xml:space="preserve">, porque cada índice </w:t>
      </w:r>
      <w:r>
        <w:rPr>
          <w:b/>
          <w:bCs/>
        </w:rPr>
        <w:t xml:space="preserve">hace más lentas las escrituras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criterio</w:t>
            </w:r>
          </w:p>
        </w:tc>
        <w:tc>
          <w:tcPr>
            <w:tcW w:type="dxa" w:w="6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Las claves foráneas se indexan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Sin índice, buscar los pedidos de un usuario </w:t>
            </w:r>
            <w:r>
              <w:rPr>
                <w:b/>
                <w:bCs/>
                <w:sz w:val="19"/>
                <w:szCs w:val="19"/>
              </w:rPr>
              <w:t xml:space="preserve">recorre la tabla de pedidos completa</w:t>
            </w:r>
            <w:r>
              <w:rPr>
                <w:sz w:val="19"/>
                <w:szCs w:val="19"/>
              </w:rPr>
              <w:t xml:space="preserve">. Y ojo: </w:t>
            </w:r>
            <w:r>
              <w:rPr>
                <w:b/>
                <w:bCs/>
                <w:sz w:val="19"/>
                <w:szCs w:val="19"/>
              </w:rPr>
              <w:t xml:space="preserve">PostgreSQL no crea ese índice automáticamente</w:t>
            </w:r>
            <w:r>
              <w:rPr>
                <w:sz w:val="19"/>
                <w:szCs w:val="19"/>
              </w:rPr>
              <w:t xml:space="preserve">, a diferencia de otros motores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 que se filtra u ordena seguido se indexa</w:t>
            </w:r>
          </w:p>
        </w:tc>
        <w:tc>
          <w:tcPr>
            <w:tcW w:type="dxa" w:w="6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el listado de productos ordena por fecha de creación, esa columna necesita índice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unicidad de negocio se declara como restricción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 un correo no se repita </w:t>
            </w:r>
            <w:r>
              <w:rPr>
                <w:b/>
                <w:bCs/>
                <w:sz w:val="19"/>
                <w:szCs w:val="19"/>
              </w:rPr>
              <w:t xml:space="preserve">no es algo que el Service deba verificar: es algo que la base debe impedir</w:t>
            </w:r>
            <w:r>
              <w:rPr>
                <w:sz w:val="19"/>
                <w:szCs w:val="19"/>
              </w:rPr>
              <w:t xml:space="preserve">. Verificar en el Service </w:t>
            </w:r>
            <w:r>
              <w:rPr>
                <w:b/>
                <w:bCs/>
                <w:sz w:val="19"/>
                <w:szCs w:val="19"/>
              </w:rPr>
              <w:t xml:space="preserve">deja una ventana</w:t>
            </w:r>
            <w:r>
              <w:rPr>
                <w:sz w:val="19"/>
                <w:szCs w:val="19"/>
              </w:rPr>
              <w:t xml:space="preserve"> entre la comprobación y la inserción — y en esa ventana </w:t>
            </w:r>
            <w:r>
              <w:rPr>
                <w:b/>
                <w:bCs/>
                <w:sz w:val="19"/>
                <w:szCs w:val="19"/>
              </w:rPr>
              <w:t xml:space="preserve">otra petición puede insertar el mismo valor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las </w:t>
      </w:r>
      <w:r>
        <w:rPr>
          <w:b/>
          <w:bCs/>
        </w:rPr>
        <w:t xml:space="preserve">comprobaciones</w:t>
      </w:r>
      <w:r>
        <w:t xml:space="preserve"> —los </w:t>
      </w:r>
      <w:r>
        <w:rPr>
          <w:rFonts w:ascii="Consolas" w:cs="Consolas" w:eastAsia="Consolas" w:hAnsi="Consolas"/>
          <w:sz w:val="19"/>
          <w:szCs w:val="19"/>
        </w:rPr>
        <w:t xml:space="preserve">CHECK</w:t>
      </w:r>
      <w:r>
        <w:t xml:space="preserve">— son el otro mecanismo declarativo, el que la sección 4.8 usa como garante de </w:t>
      </w:r>
      <w:r>
        <w:rPr>
          <w:b/>
          <w:bCs/>
        </w:rPr>
        <w:t xml:space="preserve">tres de las cinco redundancias</w:t>
      </w:r>
      <w:r>
        <w:t xml:space="preserve">. Una comprobación de que el total es igual al subtotal menos el descuento más el envío </w:t>
      </w:r>
      <w:r>
        <w:rPr>
          <w:b/>
          <w:bCs/>
        </w:rPr>
        <w:t xml:space="preserve">se cumple siempre, venga la escritura de donde venga</w:t>
      </w:r>
      <w:r>
        <w:t xml:space="preserve">: desde un endpoint, desde una tarea del worker, o desde alguien escribiendo SQL a mano.</w:t>
      </w:r>
    </w:p>
    <w:p>
      <w:pPr>
        <w:spacing w:after="140" w:line="300"/>
      </w:pPr>
      <w:r>
        <w:rPr>
          <w:b/>
          <w:bCs/>
        </w:rPr>
        <w:t xml:space="preserve">Su límite es el que el TPI señala: no puede cruzar tablas.</w:t>
      </w:r>
      <w:r>
        <w:t xml:space="preserve"> De ahí que la cuarta redundancia —el monto del pago— tenga como garante una prueba y no un </w:t>
      </w:r>
      <w:r>
        <w:rPr>
          <w:rFonts w:ascii="Consolas" w:cs="Consolas" w:eastAsia="Consolas" w:hAnsi="Consolas"/>
          <w:sz w:val="19"/>
          <w:szCs w:val="19"/>
        </w:rPr>
        <w:t xml:space="preserve">CHECK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4.11 — Migraciones: el esquema como código versionado</w:t>
      </w:r>
    </w:p>
    <w:p>
      <w:pPr>
        <w:spacing w:after="140" w:line="300"/>
      </w:pPr>
      <w:r>
        <w:t xml:space="preserve">El esquema de la base cambia con el tiempo, y ese cambio necesita </w:t>
      </w:r>
      <w:r>
        <w:rPr>
          <w:b/>
          <w:bCs/>
        </w:rPr>
        <w:t xml:space="preserve">las mismas garantías que el código</w:t>
      </w:r>
      <w:r>
        <w:t xml:space="preserve">: quedar registrado, revisarse, aplicarse en orden y </w:t>
      </w:r>
      <w:r>
        <w:rPr>
          <w:b/>
          <w:bCs/>
        </w:rPr>
        <w:t xml:space="preserve">poder reproducirse en otra máquina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Alembic</w:t>
      </w:r>
      <w:r>
        <w:t xml:space="preserve"> resuelve eso con migraciones versionadas: cada cambio es un archivo con su función de aplicación y su función de reversión, y </w:t>
      </w:r>
      <w:r>
        <w:rPr>
          <w:b/>
          <w:bCs/>
        </w:rPr>
        <w:t xml:space="preserve">cada uno declara a cuál sigue</w:t>
      </w:r>
      <w:r>
        <w:t xml:space="preserve">. El TPI exige inicializarlo con la plantilla asincrónica, coherente con EA-03.</w:t>
      </w:r>
    </w:p>
    <w:p>
      <w:pPr>
        <w:spacing w:after="140" w:line="300"/>
      </w:pPr>
      <w:r>
        <w:t xml:space="preserve">Alembic puede </w:t>
      </w:r>
      <w:r>
        <w:rPr>
          <w:b/>
          <w:bCs/>
        </w:rPr>
        <w:t xml:space="preserve">generar</w:t>
      </w:r>
      <w:r>
        <w:t xml:space="preserve"> una migración comparando los modelos con el esquema actual. Y acá va la advertencia que el TPI convierte en </w:t>
      </w:r>
      <w:r>
        <w:rPr>
          <w:b/>
          <w:bCs/>
        </w:rPr>
        <w:t xml:space="preserve">práctica obligatoria</w:t>
      </w:r>
      <w:r>
        <w:t xml:space="preserve">: </w:t>
      </w:r>
      <w:r>
        <w:rPr>
          <w:b/>
          <w:bCs/>
        </w:rPr>
        <w:t xml:space="preserve">una migración generada se lee antes de aplicarse. Siempre.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4.6 </w:t>
      </w:r>
      <w:r>
        <w:rPr>
          <w:i/>
          <w:iCs/>
          <w:color w:val="5A6472"/>
          <w:sz w:val="18"/>
          <w:szCs w:val="18"/>
        </w:rPr>
        <w:t xml:space="preserve">— Una migración generada, con lo que hay que revisar señalado.</w:t>
      </w: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mejor comerse el susto acá que en producción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Creá un modelo con un campo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nombre</w:t>
            </w:r>
            <w:r>
              <w:t xml:space="preserve"> y generá la migración. Aplicala.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Insertá </w:t>
            </w:r>
            <w:r>
              <w:rPr>
                <w:b/>
                <w:bCs/>
              </w:rPr>
              <w:t xml:space="preserve">tres filas con datos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Ahora </w:t>
            </w:r>
            <w:r>
              <w:rPr>
                <w:b/>
                <w:bCs/>
              </w:rPr>
              <w:t xml:space="preserve">renombrá</w:t>
            </w:r>
            <w:r>
              <w:t xml:space="preserve"> el campo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nombre_completo</w:t>
            </w:r>
            <w:r>
              <w:t xml:space="preserve"> en el modelo y generá la migración de nuevo.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Cuatro. Abrí el archivo generado y leelo antes de aplicar nada.</w:t>
            </w:r>
          </w:p>
          <w:p>
            <w:pPr>
              <w:spacing w:after="110" w:line="290"/>
            </w:pPr>
            <w:r>
              <w:t xml:space="preserve">Vas a ver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drop_column('nombre')</w:t>
            </w:r>
            <w:r>
              <w:t xml:space="preserve"> seguido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add_column('nombre_completo')</w:t>
            </w:r>
            <w:r>
              <w:t xml:space="preserve">. </w:t>
            </w:r>
            <w:r>
              <w:rPr>
                <w:b/>
                <w:bCs/>
              </w:rPr>
              <w:t xml:space="preserve">Eso no es un renombre: es borrar los datos y crear una columna vacía.</w:t>
            </w:r>
            <w:r>
              <w:t xml:space="preserve"> Si lo aplicás, tus tres filas </w:t>
            </w:r>
            <w:r>
              <w:rPr>
                <w:b/>
                <w:bCs/>
              </w:rPr>
              <w:t xml:space="preserve">pierden el nombre para siempre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Cinco.</w:t>
            </w:r>
            <w:r>
              <w:t xml:space="preserve"> Corregí la migración a mano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alter_column</w:t>
            </w:r>
            <w:r>
              <w:t xml:space="preserve">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new_column_name</w:t>
            </w:r>
            <w:r>
              <w:t xml:space="preserve">, aplicala, y </w:t>
            </w:r>
            <w:r>
              <w:rPr>
                <w:b/>
                <w:bCs/>
              </w:rPr>
              <w:t xml:space="preserve">verificá que los datos siguen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herramienta no se equivocó:</w:t>
            </w:r>
            <w:r>
              <w:t xml:space="preserve"> comparó dos esquemas y </w:t>
            </w:r>
            <w:r>
              <w:rPr>
                <w:b/>
                <w:bCs/>
              </w:rPr>
              <w:t xml:space="preserve">no puede adivinar tu intención</w:t>
            </w:r>
            <w:r>
              <w:t xml:space="preserve">. Vos sabés que renombraste; ella ve una columna que ya no está y otra que apareció.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4.12 — Herramientas de diagnóstico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te dice</w:t>
            </w:r>
          </w:p>
        </w:tc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registro de sentencias del motor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Cada consulta que el ORM emite</w:t>
            </w:r>
            <w:r>
              <w:rPr>
                <w:sz w:val="19"/>
                <w:szCs w:val="19"/>
              </w:rPr>
              <w:t xml:space="preserve"> — y por lo tanto responde la pregunta que un ORM vuelve difícil: </w:t>
            </w:r>
            <w:r>
              <w:rPr>
                <w:b/>
                <w:bCs/>
                <w:sz w:val="19"/>
                <w:szCs w:val="19"/>
              </w:rPr>
              <w:t xml:space="preserve">qué SQL produjo realmente el código que escribiste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la herramienta central de este capítulo</w:t>
            </w:r>
            <w:r>
              <w:rPr>
                <w:sz w:val="19"/>
                <w:szCs w:val="19"/>
              </w:rPr>
              <w:t xml:space="preserve">. Para verificar que una consulta con precarga emite </w:t>
            </w:r>
            <w:r>
              <w:rPr>
                <w:b/>
                <w:bCs/>
                <w:sz w:val="19"/>
                <w:szCs w:val="19"/>
              </w:rPr>
              <w:t xml:space="preserve">dos sentencias y no ciento una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plan de ejecución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EXPLAIN ANALYZE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Cómo resolvió el motor una consulta: </w:t>
            </w:r>
            <w:r>
              <w:rPr>
                <w:b/>
                <w:bCs/>
                <w:sz w:val="19"/>
                <w:szCs w:val="19"/>
              </w:rPr>
              <w:t xml:space="preserve">si usó un índice o recorrió la tabla entera</w:t>
            </w:r>
            <w:r>
              <w:rPr>
                <w:sz w:val="19"/>
                <w:szCs w:val="19"/>
              </w:rPr>
              <w:t xml:space="preserve">, y cuánto tardó cada paso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Cuando una consulta es lenta — </w:t>
            </w:r>
            <w:r>
              <w:rPr>
                <w:b/>
                <w:bCs/>
                <w:sz w:val="19"/>
                <w:szCs w:val="19"/>
              </w:rPr>
              <w:t xml:space="preserve">antes de agregar índices a ciegas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estado del pool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Cuántas conexiones están en uso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está lleno de forma sostenida, </w:t>
            </w:r>
            <w:r>
              <w:rPr>
                <w:b/>
                <w:bCs/>
                <w:sz w:val="19"/>
                <w:szCs w:val="19"/>
              </w:rPr>
              <w:t xml:space="preserve">el problema es el de la sección 3.11</w:t>
            </w:r>
            <w:r>
              <w:rPr>
                <w:sz w:val="19"/>
                <w:szCs w:val="19"/>
              </w:rPr>
              <w:t xml:space="preserve"> y no una consulta lenta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 cliente de base de datos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esquema tal como quedó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Para verificar que </w:t>
            </w:r>
            <w:r>
              <w:rPr>
                <w:b/>
                <w:bCs/>
                <w:sz w:val="19"/>
                <w:szCs w:val="19"/>
              </w:rPr>
              <w:t xml:space="preserve">una migración hizo lo que se esperaba</w:t>
            </w:r>
            <w:r>
              <w:rPr>
                <w:sz w:val="19"/>
                <w:szCs w:val="19"/>
              </w:rPr>
              <w:t xml:space="preserve">: que el índice existe, que la comprobación está declarada, que el tipo es el correcto</w:t>
            </w:r>
          </w:p>
        </w:tc>
      </w:tr>
    </w:tbl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4.5 </w:t>
      </w:r>
      <w:r>
        <w:rPr>
          <w:i/>
          <w:iCs/>
          <w:color w:val="5A6472"/>
          <w:sz w:val="18"/>
          <w:szCs w:val="18"/>
        </w:rPr>
        <w:t xml:space="preserve">— El esquema de un dominio visto desde un cliente, y qué verificar después de una migración.</w:t>
      </w:r>
    </w:p>
    <w:p>
      <w:pPr>
        <w:pStyle w:val="Heading1"/>
        <w:keepNext/>
        <w:spacing w:after="180" w:before="360"/>
      </w:pPr>
      <w:r>
        <w:t xml:space="preserve">4.13 — Seguridad y evolución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consideración</w:t>
            </w:r>
          </w:p>
        </w:tc>
        <w:tc>
          <w:tcPr>
            <w:tcW w:type="dxa" w:w="6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dos roles de base de datos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sistema usa </w:t>
            </w:r>
            <w:r>
              <w:rPr>
                <w:b/>
                <w:bCs/>
                <w:sz w:val="19"/>
                <w:szCs w:val="19"/>
              </w:rPr>
              <w:t xml:space="preserve">dos</w:t>
            </w:r>
            <w:r>
              <w:rPr>
                <w:sz w:val="19"/>
                <w:szCs w:val="19"/>
              </w:rPr>
              <w:t xml:space="preserve">: un </w:t>
            </w:r>
            <w:r>
              <w:rPr>
                <w:b/>
                <w:bCs/>
                <w:sz w:val="19"/>
                <w:szCs w:val="19"/>
              </w:rPr>
              <w:t xml:space="preserve">propietario</w:t>
            </w:r>
            <w:r>
              <w:rPr>
                <w:sz w:val="19"/>
                <w:szCs w:val="19"/>
              </w:rPr>
              <w:t xml:space="preserve">, que es el único que aplica migraciones y puede alterar el esquema, y un </w:t>
            </w:r>
            <w:r>
              <w:rPr>
                <w:b/>
                <w:bCs/>
                <w:sz w:val="19"/>
                <w:szCs w:val="19"/>
              </w:rPr>
              <w:t xml:space="preserve">rol de aplicación</w:t>
            </w:r>
            <w:r>
              <w:rPr>
                <w:sz w:val="19"/>
                <w:szCs w:val="19"/>
              </w:rPr>
              <w:t xml:space="preserve">, que sólo puede leer y escribir datos. La consecuencia es concreta: </w:t>
            </w:r>
            <w:r>
              <w:rPr>
                <w:b/>
                <w:bCs/>
                <w:sz w:val="19"/>
                <w:szCs w:val="19"/>
              </w:rPr>
              <w:t xml:space="preserve">aunque el código de la aplicación sea comprometido, no puede alterar el esquema ni borrar tablas</w:t>
            </w:r>
            <w:r>
              <w:rPr>
                <w:sz w:val="19"/>
                <w:szCs w:val="19"/>
              </w:rPr>
              <w:t xml:space="preserve">. Y es además uno de los dos mecanismos que garantizan las tablas de sólo agregado de RN-03 — </w:t>
            </w:r>
            <w:r>
              <w:rPr>
                <w:b/>
                <w:bCs/>
                <w:sz w:val="19"/>
                <w:szCs w:val="19"/>
              </w:rPr>
              <w:t xml:space="preserve">el rol de aplicación no tiene permiso</w:t>
            </w:r>
            <w:r>
              <w:rPr>
                <w:sz w:val="19"/>
                <w:szCs w:val="19"/>
              </w:rPr>
              <w:t xml:space="preserve"> de actualizar ni borrar sobre ellas</w:t>
            </w:r>
          </w:p>
        </w:tc>
      </w:tr>
      <w:tr>
        <w:tc>
          <w:tcPr>
            <w:tcW w:type="dxa" w:w="2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datos personales tienen requisitos propios</w:t>
            </w:r>
          </w:p>
        </w:tc>
        <w:tc>
          <w:tcPr>
            <w:tcW w:type="dxa" w:w="6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correo, una dirección y un teléfono son datos personales, y </w:t>
            </w:r>
            <w:r>
              <w:rPr>
                <w:b/>
                <w:bCs/>
                <w:sz w:val="19"/>
                <w:szCs w:val="19"/>
              </w:rPr>
              <w:t xml:space="preserve">el borrado lógico los conserva</w:t>
            </w:r>
            <w:r>
              <w:rPr>
                <w:sz w:val="19"/>
                <w:szCs w:val="19"/>
              </w:rPr>
              <w:t xml:space="preserve">. Es una decisión legítima —hay razones de trazabilidad— y </w:t>
            </w:r>
            <w:r>
              <w:rPr>
                <w:b/>
                <w:bCs/>
                <w:sz w:val="19"/>
                <w:szCs w:val="19"/>
              </w:rPr>
              <w:t xml:space="preserve">conviene saber que existe una tensión</w:t>
            </w:r>
            <w:r>
              <w:rPr>
                <w:sz w:val="19"/>
                <w:szCs w:val="19"/>
              </w:rPr>
              <w:t xml:space="preserve"> con las normativas de protección de datos, que en general reconocen un derecho a la supresión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esquema es una superficie de ataque indirecta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mensaje de error que revela </w:t>
            </w:r>
            <w:r>
              <w:rPr>
                <w:b/>
                <w:bCs/>
                <w:sz w:val="19"/>
                <w:szCs w:val="19"/>
              </w:rPr>
              <w:t xml:space="preserve">nombres de tablas y columnas</w:t>
            </w:r>
            <w:r>
              <w:rPr>
                <w:sz w:val="19"/>
                <w:szCs w:val="19"/>
              </w:rPr>
              <w:t xml:space="preserve"> le entrega a un atacante </w:t>
            </w:r>
            <w:r>
              <w:rPr>
                <w:b/>
                <w:bCs/>
                <w:sz w:val="19"/>
                <w:szCs w:val="19"/>
              </w:rPr>
              <w:t xml:space="preserve">el mapa del sistema</w:t>
            </w:r>
            <w:r>
              <w:rPr>
                <w:sz w:val="19"/>
                <w:szCs w:val="19"/>
              </w:rPr>
              <w:t xml:space="preserve">. Es otra razón del manejador global de errores que la clase 8 estudia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Sobre la evolución, dos observaciones. </w:t>
      </w:r>
      <w:r>
        <w:rPr>
          <w:b/>
          <w:bCs/>
        </w:rPr>
        <w:t xml:space="preserve">La primera:</w:t>
      </w:r>
      <w:r>
        <w:t xml:space="preserve"> el modelo relacional </w:t>
      </w:r>
      <w:r>
        <w:rPr>
          <w:b/>
          <w:bCs/>
        </w:rPr>
        <w:t xml:space="preserve">lleva más de cincuenta años</w:t>
      </w:r>
      <w:r>
        <w:t xml:space="preserve"> y las alternativas que iban a reemplazarlo </w:t>
      </w:r>
      <w:r>
        <w:rPr>
          <w:b/>
          <w:bCs/>
        </w:rPr>
        <w:t xml:space="preserve">terminaron conviviendo con él</w:t>
      </w:r>
      <w:r>
        <w:t xml:space="preserve">. La razón es la de la sección 4.2: </w:t>
      </w:r>
      <w:r>
        <w:rPr>
          <w:b/>
          <w:bCs/>
        </w:rPr>
        <w:t xml:space="preserve">las garantías declaradas —las restricciones y las transacciones— son difíciles de reponer en la aplicación, y casi siempre se reponen peor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segunda:</w:t>
      </w:r>
      <w:r>
        <w:t xml:space="preserve"> PostgreSQL viene incorporando capacidades que antes obligaban a sumar otro motor —documentos JSON con índices, búsqueda de texto, tipos geométricos—. Eso hace más defendible la decisión del TPI de tener </w:t>
      </w:r>
      <w:r>
        <w:rPr>
          <w:b/>
          <w:bCs/>
        </w:rPr>
        <w:t xml:space="preserve">un solo almacén durable</w:t>
      </w:r>
      <w:r>
        <w:t xml:space="preserve">, que es </w:t>
      </w:r>
      <w:r>
        <w:rPr>
          <w:b/>
          <w:bCs/>
        </w:rPr>
        <w:t xml:space="preserve">siempre más simple de operar que dos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4.14 — Verificación: el checklist honesto</w:t>
      </w:r>
    </w:p>
    <w:p>
      <w:pPr>
        <w:spacing w:after="70"/>
      </w:pP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Traducir un diagrama con las tres relaciones de POO a un esquema, </w:t>
      </w:r>
      <w:r>
        <w:rPr>
          <w:b/>
          <w:bCs/>
        </w:rPr>
        <w:t xml:space="preserve">justificando dónde va cada clave foránea</w:t>
      </w:r>
      <w:r>
        <w:t xml:space="preserve"> y qué comportamiento de borrado corresponde. </w:t>
      </w:r>
      <w:r>
        <w:rPr>
          <w:i/>
          <w:iCs/>
        </w:rPr>
        <w:t xml:space="preserve">(4.3)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Declarar una relación uno a uno y </w:t>
      </w:r>
      <w:r>
        <w:rPr>
          <w:b/>
          <w:bCs/>
        </w:rPr>
        <w:t xml:space="preserve">verificar que sin la restricción de unicidad no lo es</w:t>
      </w:r>
      <w:r>
        <w:t xml:space="preserve">. </w:t>
      </w:r>
      <w:r>
        <w:rPr>
          <w:i/>
          <w:iCs/>
        </w:rPr>
        <w:t xml:space="preserve">(4.3)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Provocar la excepción de la sección 3.8 </w:t>
      </w:r>
      <w:r>
        <w:rPr>
          <w:b/>
          <w:bCs/>
        </w:rPr>
        <w:t xml:space="preserve">olvidando la precarga</w:t>
      </w:r>
      <w:r>
        <w:t xml:space="preserve">, y corregirla. </w:t>
      </w:r>
      <w:r>
        <w:rPr>
          <w:i/>
          <w:iCs/>
        </w:rPr>
        <w:t xml:space="preserve">(4.6)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Contar con el registro de sentencias las consultas que emite un listado de veinte elementos, </w:t>
      </w:r>
      <w:r>
        <w:rPr>
          <w:b/>
          <w:bCs/>
        </w:rPr>
        <w:t xml:space="preserve">con y sin precarga</w:t>
      </w:r>
      <w:r>
        <w:t xml:space="preserve">. </w:t>
      </w:r>
      <w:r>
        <w:rPr>
          <w:i/>
          <w:iCs/>
        </w:rPr>
        <w:t xml:space="preserve">(4.12)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Comparar </w:t>
      </w:r>
      <w:r>
        <w:rPr>
          <w:rFonts w:ascii="Consolas" w:cs="Consolas" w:eastAsia="Consolas" w:hAnsi="Consolas"/>
          <w:sz w:val="19"/>
          <w:szCs w:val="19"/>
        </w:rPr>
        <w:t xml:space="preserve">selectinload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joinedload</w:t>
      </w:r>
      <w:r>
        <w:t xml:space="preserve"> en una colección, y </w:t>
      </w:r>
      <w:r>
        <w:rPr>
          <w:b/>
          <w:bCs/>
        </w:rPr>
        <w:t xml:space="preserve">contar las filas transferidas</w:t>
      </w:r>
      <w:r>
        <w:t xml:space="preserve"> por cada uno. </w:t>
      </w:r>
      <w:r>
        <w:rPr>
          <w:i/>
          <w:iCs/>
        </w:rPr>
        <w:t xml:space="preserve">(4.6)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Quitar </w:t>
      </w:r>
      <w:r>
        <w:rPr>
          <w:rFonts w:ascii="Consolas" w:cs="Consolas" w:eastAsia="Consolas" w:hAnsi="Consolas"/>
          <w:sz w:val="19"/>
          <w:szCs w:val="19"/>
        </w:rPr>
        <w:t xml:space="preserve">expire_on_commit=False</w:t>
      </w:r>
      <w:r>
        <w:t xml:space="preserve"> y </w:t>
      </w:r>
      <w:r>
        <w:rPr>
          <w:b/>
          <w:bCs/>
        </w:rPr>
        <w:t xml:space="preserve">reproducir el error</w:t>
      </w:r>
      <w:r>
        <w:t xml:space="preserve"> que EA-04 previene. </w:t>
      </w:r>
      <w:r>
        <w:rPr>
          <w:i/>
          <w:iCs/>
        </w:rPr>
        <w:t xml:space="preserve">(4.5)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Identificar en el TPI las cinco redundancias y </w:t>
      </w:r>
      <w:r>
        <w:rPr>
          <w:b/>
          <w:bCs/>
        </w:rPr>
        <w:t xml:space="preserve">nombrar el garante de cada una</w:t>
      </w:r>
      <w:r>
        <w:t xml:space="preserve">. </w:t>
      </w:r>
      <w:r>
        <w:rPr>
          <w:i/>
          <w:iCs/>
        </w:rPr>
        <w:t xml:space="preserve">(4.8)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Crear un usuario, darlo de baja lógicamente, e intentar registrar el mismo correo. </w:t>
      </w:r>
      <w:r>
        <w:rPr>
          <w:b/>
          <w:bCs/>
        </w:rPr>
        <w:t xml:space="preserve">Corregirlo con un índice único parcial.</w:t>
      </w:r>
      <w:r>
        <w:t xml:space="preserve"> </w:t>
      </w:r>
      <w:r>
        <w:rPr>
          <w:i/>
          <w:iCs/>
        </w:rPr>
        <w:t xml:space="preserve">(4.9)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Generar la migración de un renombre y </w:t>
      </w:r>
      <w:r>
        <w:rPr>
          <w:b/>
          <w:bCs/>
        </w:rPr>
        <w:t xml:space="preserve">encontrar el problema antes de aplicarla</w:t>
      </w:r>
      <w:r>
        <w:t xml:space="preserve">. </w:t>
      </w:r>
      <w:r>
        <w:rPr>
          <w:i/>
          <w:iCs/>
        </w:rPr>
        <w:t xml:space="preserve">(4.11)</w:t>
      </w:r>
    </w:p>
    <w:p>
      <w:pPr>
        <w:pStyle w:val="Heading1"/>
        <w:keepNext/>
        <w:spacing w:after="180" w:before="360"/>
      </w:pPr>
      <w:r>
        <w:t xml:space="preserve">4.15 — Los doce errores frecuentes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4600"/>
        <w:gridCol w:w="12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4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duele</w:t>
            </w:r>
          </w:p>
        </w:tc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Poner la clave foránea del lado equivocado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 uno a muchos vive </w:t>
            </w:r>
            <w:r>
              <w:rPr>
                <w:b/>
                <w:bCs/>
                <w:sz w:val="19"/>
                <w:szCs w:val="19"/>
              </w:rPr>
              <w:t xml:space="preserve">en el lado «muchos»</w:t>
            </w:r>
            <w:r>
              <w:rPr>
                <w:sz w:val="19"/>
                <w:szCs w:val="19"/>
              </w:rPr>
              <w:t xml:space="preserve">, al revés de lo que sugiere el diagrama de clases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4.3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Declarar uno a uno sin restricción de unicidad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Sin ella </w:t>
            </w:r>
            <w:r>
              <w:rPr>
                <w:b/>
                <w:bCs/>
                <w:sz w:val="19"/>
                <w:szCs w:val="19"/>
              </w:rPr>
              <w:t xml:space="preserve">es uno a muchos con un solo elemento por casualidad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4.3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el modelo de tabla como schema de entrada y de salida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Son cosas distintas por las tres razones de la clase 2 — y expone campos que no deben salir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4.4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Olvidar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expire_on_commit=False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objeto queda expirado tras el commit y </w:t>
            </w:r>
            <w:r>
              <w:rPr>
                <w:b/>
                <w:bCs/>
                <w:sz w:val="19"/>
                <w:szCs w:val="19"/>
              </w:rPr>
              <w:t xml:space="preserve">la primera lectura falla</w:t>
            </w:r>
            <w:r>
              <w:rPr>
                <w:sz w:val="19"/>
                <w:szCs w:val="19"/>
              </w:rPr>
              <w:t xml:space="preserve">. Viola EA-04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Declarar la relación y no precargarla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Declarar no es cargar:</w:t>
            </w:r>
            <w:r>
              <w:rPr>
                <w:sz w:val="19"/>
                <w:szCs w:val="19"/>
              </w:rPr>
              <w:t xml:space="preserve"> acceder lanza la excepción de greenlet. Viola EA-05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4.6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joinedload</w:t>
            </w:r>
            <w:r>
              <w:rPr>
                <w:b/>
                <w:bCs/>
                <w:sz w:val="19"/>
                <w:szCs w:val="19"/>
              </w:rPr>
              <w:t xml:space="preserve"> para una colección grande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Devuelve </w:t>
            </w:r>
            <w:r>
              <w:rPr>
                <w:b/>
                <w:bCs/>
                <w:sz w:val="19"/>
                <w:szCs w:val="19"/>
              </w:rPr>
              <w:t xml:space="preserve">los datos del padre repetidos una vez por hijo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4.6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Desnormalizar sin garante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redundancia sin restricción ni prueba es </w:t>
            </w:r>
            <w:r>
              <w:rPr>
                <w:b/>
                <w:bCs/>
                <w:sz w:val="19"/>
                <w:szCs w:val="19"/>
              </w:rPr>
              <w:t xml:space="preserve">una inconsistencia esperando ocurrir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4.8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Suponer que todas las consultas filtran el borrado lógico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TPI enumera </w:t>
            </w:r>
            <w:r>
              <w:rPr>
                <w:b/>
                <w:bCs/>
                <w:sz w:val="19"/>
                <w:szCs w:val="19"/>
              </w:rPr>
              <w:t xml:space="preserve">cinco excepciones taxativas</w:t>
            </w:r>
            <w:r>
              <w:rPr>
                <w:sz w:val="19"/>
                <w:szCs w:val="19"/>
              </w:rPr>
              <w:t xml:space="preserve">, y tres son </w:t>
            </w:r>
            <w:r>
              <w:rPr>
                <w:b/>
                <w:bCs/>
                <w:sz w:val="19"/>
                <w:szCs w:val="19"/>
              </w:rPr>
              <w:t xml:space="preserve">de corrección y no de comodidad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4.9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Declarar un índice único común sobre una tabla con borrado lógico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Impide reusar un valor de una fila dada de baja. </w:t>
            </w:r>
            <w:r>
              <w:rPr>
                <w:b/>
                <w:bCs/>
                <w:sz w:val="19"/>
                <w:szCs w:val="19"/>
              </w:rPr>
              <w:t xml:space="preserve">Corresponde un índice parcial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4.9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Verificar la unicidad en el Service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Deja </w:t>
            </w:r>
            <w:r>
              <w:rPr>
                <w:b/>
                <w:bCs/>
                <w:sz w:val="19"/>
                <w:szCs w:val="19"/>
              </w:rPr>
              <w:t xml:space="preserve">una ventana</w:t>
            </w:r>
            <w:r>
              <w:rPr>
                <w:sz w:val="19"/>
                <w:szCs w:val="19"/>
              </w:rPr>
              <w:t xml:space="preserve"> entre la comprobación y la inserción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4.10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Olvidar el índice de una clave foránea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PostgreSQL no lo crea solo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4.10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Aplicar una migración generada sin leerla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comparación automática </w:t>
            </w:r>
            <w:r>
              <w:rPr>
                <w:b/>
                <w:bCs/>
                <w:sz w:val="19"/>
                <w:szCs w:val="19"/>
              </w:rPr>
              <w:t xml:space="preserve">ve un renombre como borrar y crear</w:t>
            </w:r>
            <w:r>
              <w:rPr>
                <w:sz w:val="19"/>
                <w:szCs w:val="19"/>
              </w:rPr>
              <w:t xml:space="preserve"> — y eso pierde los datos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4.11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4.16 — Las actividades, y qué busca cada una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Del diagrama al esquema</w:t>
      </w:r>
    </w:p>
    <w:p>
      <w:pPr>
        <w:spacing w:after="140" w:line="300"/>
      </w:pPr>
      <w:r>
        <w:t xml:space="preserve">Tomar el dominio de catálogo del TPI —producto, categoría, ingrediente y sus vínculos— y escribir sus </w:t>
      </w:r>
      <w:r>
        <w:rPr>
          <w:b/>
          <w:bCs/>
        </w:rPr>
        <w:t xml:space="preserve">modelos completos</w:t>
      </w:r>
      <w:r>
        <w:t xml:space="preserve"> con relaciones, comportamiento de borrado e índices. </w:t>
      </w:r>
      <w:r>
        <w:rPr>
          <w:b/>
          <w:bCs/>
        </w:rPr>
        <w:t xml:space="preserve">Justificar cada decisión contra las actividades 5 y 6 de POO.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la traducción sea explícita. La mitad de las decisiones no las resuelve el diagrama: las resolvés vos.</w:t>
      </w:r>
    </w:p>
    <w:p>
      <w:pPr>
        <w:pStyle w:val="Heading3"/>
        <w:keepNext/>
        <w:spacing w:after="100" w:before="220"/>
      </w:pPr>
      <w:r>
        <w:t xml:space="preserve">2. Las consultas contadas</w:t>
      </w:r>
    </w:p>
    <w:p>
      <w:pPr>
        <w:spacing w:after="140" w:line="300"/>
      </w:pPr>
      <w:r>
        <w:t xml:space="preserve">Implementar un endpoint que liste pedidos con su usuario y sus líneas. Medir con el registro de sentencias cuántas emite </w:t>
      </w:r>
      <w:r>
        <w:rPr>
          <w:b/>
          <w:bCs/>
        </w:rPr>
        <w:t xml:space="preserve">sin precarga, con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selectinload</w:t>
      </w:r>
      <w:r>
        <w:rPr>
          <w:b/>
          <w:bCs/>
        </w:rPr>
        <w:t xml:space="preserve"> y con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joinedload</w:t>
      </w:r>
      <w:r>
        <w:t xml:space="preserve">, y documentar además </w:t>
      </w:r>
      <w:r>
        <w:rPr>
          <w:b/>
          <w:bCs/>
        </w:rPr>
        <w:t xml:space="preserve">las filas transferidas</w:t>
      </w:r>
      <w:r>
        <w:t xml:space="preserve"> en cada caso.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segunda métrica. Contar consultas es lo obvio; contar filas es lo que explica por qué joinedload no sirve para colecciones.</w:t>
      </w:r>
    </w:p>
    <w:p>
      <w:pPr>
        <w:pStyle w:val="Heading3"/>
        <w:keepNext/>
        <w:spacing w:after="100" w:before="220"/>
      </w:pPr>
      <w:r>
        <w:t xml:space="preserve">3. Las cinco redundancias</w:t>
      </w:r>
    </w:p>
    <w:p>
      <w:pPr>
        <w:spacing w:after="140" w:line="300"/>
      </w:pPr>
      <w:r>
        <w:t xml:space="preserve">Para cada una, documentar </w:t>
      </w:r>
      <w:r>
        <w:rPr>
          <w:b/>
          <w:bCs/>
        </w:rPr>
        <w:t xml:space="preserve">qué duplica, qué la garantiza, y qué pasaría si esa garantía no existiera</w:t>
      </w:r>
      <w:r>
        <w:t xml:space="preserve">. Proponer para la cuarta —el monto del pago— </w:t>
      </w:r>
      <w:r>
        <w:rPr>
          <w:b/>
          <w:bCs/>
        </w:rPr>
        <w:t xml:space="preserve">una forma de detectar la inconsistencia si la prueba no existiera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última parte. Cuando no hay garante, lo único que queda es una consulta de auditoría que alguien tiene que acordarse de correr. Ese es exactamente el problema.</w:t>
      </w:r>
    </w:p>
    <w:p>
      <w:pPr>
        <w:pStyle w:val="Heading3"/>
        <w:keepNext/>
        <w:spacing w:after="100" w:before="220"/>
      </w:pPr>
      <w:r>
        <w:t xml:space="preserve">4. El índice parcial</w:t>
      </w:r>
    </w:p>
    <w:p>
      <w:pPr>
        <w:spacing w:after="140" w:line="300"/>
      </w:pPr>
      <w:r>
        <w:t xml:space="preserve">Implementar borrado lógico sobre usuarios con unicidad de correo. </w:t>
      </w:r>
      <w:r>
        <w:rPr>
          <w:b/>
          <w:bCs/>
        </w:rPr>
        <w:t xml:space="preserve">Demostrar el problema con un índice único común</w:t>
      </w:r>
      <w:r>
        <w:t xml:space="preserve"> y resolverlo con uno parcial. Verificar los dos casos: registrar un correo dado de baja, </w:t>
      </w:r>
      <w:r>
        <w:rPr>
          <w:b/>
          <w:bCs/>
        </w:rPr>
        <w:t xml:space="preserve">y no poder duplicar uno activo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verifiques los dos lados. Un índice parcial mal escrito arregla el primer caso y rompe el segundo.</w:t>
      </w:r>
    </w:p>
    <w:p>
      <w:pPr>
        <w:pStyle w:val="Heading3"/>
        <w:keepNext/>
        <w:spacing w:after="100" w:before="220"/>
      </w:pPr>
      <w:r>
        <w:t xml:space="preserve">5. Migraciones que se leen</w:t>
      </w:r>
    </w:p>
    <w:p>
      <w:pPr>
        <w:spacing w:after="140" w:line="300"/>
      </w:pPr>
      <w:r>
        <w:t xml:space="preserve">Generar tres migraciones —</w:t>
      </w:r>
      <w:r>
        <w:rPr>
          <w:b/>
          <w:bCs/>
        </w:rPr>
        <w:t xml:space="preserve">agregar columna, renombrar columna y cambiar un tipo con conversión</w:t>
      </w:r>
      <w:r>
        <w:t xml:space="preserve">— y documentar para cada una </w:t>
      </w:r>
      <w:r>
        <w:rPr>
          <w:b/>
          <w:bCs/>
        </w:rPr>
        <w:t xml:space="preserve">qué generó la herramienta, qué hacía falta corregir y por qué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que la primera está perfecta y las otras dos no. La herramienta no es mala: tiene un límite conocido.</w:t>
      </w:r>
    </w:p>
    <w:p>
      <w:pPr>
        <w:pStyle w:val="Heading3"/>
        <w:keepNext/>
        <w:spacing w:after="100" w:before="220"/>
      </w:pPr>
      <w:r>
        <w:t xml:space="preserve">6. Exploración: qué esconde el ORM</w:t>
      </w:r>
    </w:p>
    <w:p>
      <w:pPr>
        <w:spacing w:after="140" w:line="300"/>
      </w:pPr>
      <w:r>
        <w:t xml:space="preserve">Escribir cinco operaciones habituales —insertar, actualizar, borrar, listar con filtro y navegar una relación— y </w:t>
      </w:r>
      <w:r>
        <w:rPr>
          <w:b/>
          <w:bCs/>
        </w:rPr>
        <w:t xml:space="preserve">capturar el SQL que cada una emite</w:t>
      </w:r>
      <w:r>
        <w:t xml:space="preserve">. Documentar </w:t>
      </w:r>
      <w:r>
        <w:rPr>
          <w:b/>
          <w:bCs/>
        </w:rPr>
        <w:t xml:space="preserve">los casos donde el SQL sorprendió</w:t>
      </w:r>
      <w:r>
        <w:t xml:space="preserve">, y relacionarlo con la afirmación de la sección 4.2.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las sorpresas. Casi siempre aparecen en el update y en la navegación, que son justamente las dos que el ORM disimula mejor.</w:t>
      </w:r>
    </w:p>
    <w:p>
      <w:pPr>
        <w:pStyle w:val="Heading3"/>
        <w:keepNext/>
        <w:spacing w:after="100" w:before="220"/>
      </w:pPr>
      <w:r>
        <w:t xml:space="preserve">7. Exploración: el plan de ejecución</w:t>
      </w:r>
    </w:p>
    <w:p>
      <w:pPr>
        <w:spacing w:after="140" w:line="300"/>
      </w:pPr>
      <w:r>
        <w:t xml:space="preserve">Sobre una tabla con </w:t>
      </w:r>
      <w:r>
        <w:rPr>
          <w:b/>
          <w:bCs/>
        </w:rPr>
        <w:t xml:space="preserve">varios miles de filas</w:t>
      </w:r>
      <w:r>
        <w:t xml:space="preserve"> de prueba, ejecutar una consulta filtrada por una columna </w:t>
      </w:r>
      <w:r>
        <w:rPr>
          <w:b/>
          <w:bCs/>
        </w:rPr>
        <w:t xml:space="preserve">sin índice</w:t>
      </w:r>
      <w:r>
        <w:t xml:space="preserve"> y capturar su plan. Agregar el índice, repetir, y comparar. Documentar </w:t>
      </w:r>
      <w:r>
        <w:rPr>
          <w:b/>
          <w:bCs/>
        </w:rPr>
        <w:t xml:space="preserve">qué cambió en el plan y cuánto en el tiempo</w:t>
      </w:r>
      <w:r>
        <w:t xml:space="preserve">, y explicar por qué el TPI declara el motivo de cada uno de sus treinta y un índices.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el cambio de «recorrido secuencial» a «búsqueda por índice» con tus ojos, y que el número te dé la escala real.</w:t>
      </w:r>
    </w:p>
    <w:p>
      <w:pPr>
        <w:pStyle w:val="Heading1"/>
        <w:keepNext/>
        <w:spacing w:after="180" w:before="360"/>
      </w:pPr>
      <w:r>
        <w:t xml:space="preserve">4.17 — Síntesis: las once frases</w:t>
      </w:r>
    </w:p>
    <w:p>
      <w:pPr>
        <w:spacing w:after="70"/>
      </w:pP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modelo relacional separó </w:t>
      </w:r>
      <w:r>
        <w:rPr>
          <w:b/>
          <w:bCs/>
        </w:rPr>
        <w:t xml:space="preserve">cómo se guardan los datos de cómo se consultan</w:t>
      </w:r>
      <w:r>
        <w:t xml:space="preserve">, y de esa separación salen las garantías que el resto del módulo da por sentadas: </w:t>
      </w:r>
      <w:r>
        <w:rPr>
          <w:b/>
          <w:bCs/>
        </w:rPr>
        <w:t xml:space="preserve">las restricciones declaradas y las transacciones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 ORM no elimina el desajuste objeto-relacional: lo esconde.</w:t>
      </w:r>
      <w:r>
        <w:t xml:space="preserve"> La diferencia más costosa es que en objetos navegar es gratis y contra una base </w:t>
      </w:r>
      <w:r>
        <w:rPr>
          <w:b/>
          <w:bCs/>
        </w:rPr>
        <w:t xml:space="preserve">cada navegación es una consulta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clave foránea vive </w:t>
      </w:r>
      <w:r>
        <w:rPr>
          <w:b/>
          <w:bCs/>
        </w:rPr>
        <w:t xml:space="preserve">del lado «muchos»</w:t>
      </w:r>
      <w:r>
        <w:t xml:space="preserve">, al revés de lo que sugiere el diagrama de clases, </w:t>
      </w:r>
      <w:r>
        <w:rPr>
          <w:b/>
          <w:bCs/>
        </w:rPr>
        <w:t xml:space="preserve">porque una columna guarda un valor y no una lista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 diferencia entre agregación y composición no está en la clave foránea sino en qué pasa al borrar</w:t>
      </w:r>
      <w:r>
        <w:t xml:space="preserve"> — y en este sistema esa cascada casi nunca se ejecuta, porque las entidades de negocio no se borran.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onsolas" w:cs="Consolas" w:eastAsia="Consolas" w:hAnsi="Consolas"/>
          <w:sz w:val="19"/>
          <w:szCs w:val="19"/>
        </w:rPr>
        <w:t xml:space="preserve">expire_on_commit=False</w:t>
      </w:r>
      <w:r>
        <w:t xml:space="preserve"> </w:t>
      </w:r>
      <w:r>
        <w:rPr>
          <w:b/>
          <w:bCs/>
        </w:rPr>
        <w:t xml:space="preserve">no es una optimización</w:t>
      </w:r>
      <w:r>
        <w:t xml:space="preserve">: sin él, la primera lectura después del commit </w:t>
      </w:r>
      <w:r>
        <w:rPr>
          <w:b/>
          <w:bCs/>
        </w:rPr>
        <w:t xml:space="preserve">intenta emitir entrada y salida donde no puede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Declarar una relación no la carga.</w:t>
      </w:r>
      <w:r>
        <w:t xml:space="preserve"> La precarga se declara </w:t>
      </w:r>
      <w:r>
        <w:rPr>
          <w:b/>
          <w:bCs/>
        </w:rPr>
        <w:t xml:space="preserve">por consulta y en el repositorio</w:t>
      </w:r>
      <w:r>
        <w:t xml:space="preserve">, y la tabla del TPI es </w:t>
      </w:r>
      <w:r>
        <w:rPr>
          <w:b/>
          <w:bCs/>
        </w:rPr>
        <w:t xml:space="preserve">una condición para que el endpoint funcione</w:t>
      </w:r>
      <w:r>
        <w:t xml:space="preserve">, no una guía de rendimiento.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Normalizar es la regla, y el TPI la rompe </w:t>
      </w:r>
      <w:r>
        <w:rPr>
          <w:b/>
          <w:bCs/>
        </w:rPr>
        <w:t xml:space="preserve">cinco veces con criterio declarado</w:t>
      </w:r>
      <w:r>
        <w:t xml:space="preserve">. Lo que separa una redundancia de un descuido es que </w:t>
      </w:r>
      <w:r>
        <w:rPr>
          <w:b/>
          <w:bCs/>
        </w:rPr>
        <w:t xml:space="preserve">ninguna queda sostenida sólo por la disciplina del Service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</w:t>
      </w:r>
      <w:r>
        <w:rPr>
          <w:b/>
          <w:bCs/>
        </w:rPr>
        <w:t xml:space="preserve">snapshot de línea</w:t>
      </w:r>
      <w:r>
        <w:t xml:space="preserve"> no es una optimización sino </w:t>
      </w:r>
      <w:r>
        <w:rPr>
          <w:b/>
          <w:bCs/>
        </w:rPr>
        <w:t xml:space="preserve">una necesidad del dominio</w:t>
      </w:r>
      <w:r>
        <w:t xml:space="preserve">: sin él, cambiar un precio </w:t>
      </w:r>
      <w:r>
        <w:rPr>
          <w:b/>
          <w:bCs/>
        </w:rPr>
        <w:t xml:space="preserve">reescribiría la historia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TPI </w:t>
      </w:r>
      <w:r>
        <w:rPr>
          <w:b/>
          <w:bCs/>
        </w:rPr>
        <w:t xml:space="preserve">enumera en vez de generalizar</w:t>
      </w:r>
      <w:r>
        <w:t xml:space="preserve">, y lo dice: afirmar que «todas las consultas filtran el borrado lógico» </w:t>
      </w:r>
      <w:r>
        <w:rPr>
          <w:b/>
          <w:bCs/>
        </w:rPr>
        <w:t xml:space="preserve">sería falso</w:t>
      </w:r>
      <w:r>
        <w:t xml:space="preserve">. Tres de sus cinco excepciones </w:t>
      </w:r>
      <w:r>
        <w:rPr>
          <w:b/>
          <w:bCs/>
        </w:rPr>
        <w:t xml:space="preserve">son de corrección, no de comodidad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 índice único común rompe el borrado lógico.</w:t>
      </w:r>
      <w:r>
        <w:t xml:space="preserve"> El índice parcial es lo que hace que las dos cosas convivan.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Una migración generada se lee antes de aplicarse:</w:t>
      </w:r>
      <w:r>
        <w:t xml:space="preserve"> la comparación automática ve un renombre como borrar y crear, </w:t>
      </w:r>
      <w:r>
        <w:rPr>
          <w:b/>
          <w:bCs/>
        </w:rPr>
        <w:t xml:space="preserve">y eso pierde los datos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4.18 — Qué leer, y en qué orden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rPr>
          <w:b/>
          <w:bCs/>
        </w:rPr>
        <w:t xml:space="preserve">Winand</w:t>
      </w:r>
      <w:r>
        <w:t xml:space="preserve">, </w:t>
      </w:r>
      <w:r>
        <w:rPr>
          <w:i/>
          <w:iCs/>
        </w:rPr>
        <w:t xml:space="preserve">SQL Performance Explained</w:t>
      </w:r>
      <w:r>
        <w:t xml:space="preserve"> (2012, con contenido libre en </w:t>
      </w:r>
      <w:r>
        <w:rPr>
          <w:rFonts w:ascii="Consolas" w:cs="Consolas" w:eastAsia="Consolas" w:hAnsi="Consolas"/>
          <w:sz w:val="19"/>
          <w:szCs w:val="19"/>
        </w:rPr>
        <w:t xml:space="preserve">use-the-index-luke.com</w:t>
      </w:r>
      <w:r>
        <w:t xml:space="preserve">) — </w:t>
      </w:r>
      <w:r>
        <w:rPr>
          <w:b/>
          <w:bCs/>
        </w:rPr>
        <w:t xml:space="preserve">la mejor introducción a los índices que existe</w:t>
      </w:r>
      <w:r>
        <w:t xml:space="preserve">, y explica los planes de ejecución de la sección 4.12 </w:t>
      </w:r>
      <w:r>
        <w:rPr>
          <w:b/>
          <w:bCs/>
        </w:rPr>
        <w:t xml:space="preserve">desde el problema y no desde la herramienta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PostgreSQL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postgresql.org/docs</w:t>
      </w:r>
      <w:r>
        <w:t xml:space="preserve">: es </w:t>
      </w:r>
      <w:r>
        <w:rPr>
          <w:b/>
          <w:bCs/>
        </w:rPr>
        <w:t xml:space="preserve">de las mejores de su categoría</w:t>
      </w:r>
      <w:r>
        <w:t xml:space="preserve">, y sus capítulos sobre índices, restricciones y niveles de aislamiento cubren las secciones 4.9 y 4.10 </w:t>
      </w:r>
      <w:r>
        <w:rPr>
          <w:b/>
          <w:bCs/>
        </w:rPr>
        <w:t xml:space="preserve">y anticipan la clase 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SQLAlchemy</w:t>
      </w:r>
      <w:r>
        <w:t xml:space="preserve"> sobre </w:t>
      </w:r>
      <w:r>
        <w:rPr>
          <w:b/>
          <w:bCs/>
        </w:rPr>
        <w:t xml:space="preserve">estrategias de carga de relaciones</w:t>
      </w:r>
      <w:r>
        <w:t xml:space="preserve">: es la fuente directa de la sección 4.6 y explica </w:t>
      </w:r>
      <w:r>
        <w:rPr>
          <w:b/>
          <w:bCs/>
        </w:rPr>
        <w:t xml:space="preserve">cuándo conviene cada estrategia y por qué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Kleppmann</w:t>
      </w:r>
      <w:r>
        <w:t xml:space="preserve">, </w:t>
      </w:r>
      <w:r>
        <w:rPr>
          <w:i/>
          <w:iCs/>
        </w:rPr>
        <w:t xml:space="preserve">Designing Data-Intensive Applications</w:t>
      </w:r>
      <w:r>
        <w:t xml:space="preserve"> (O'Reilly, 2017), </w:t>
      </w:r>
      <w:r>
        <w:rPr>
          <w:b/>
          <w:bCs/>
        </w:rPr>
        <w:t xml:space="preserve">capítulo 2</w:t>
      </w:r>
      <w:r>
        <w:t xml:space="preserve">: la comparación entre modelos de datos, y </w:t>
      </w:r>
      <w:r>
        <w:rPr>
          <w:b/>
          <w:bCs/>
        </w:rPr>
        <w:t xml:space="preserve">por qué el relacional sobrevivió a sus reemplazos anunciados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Las fuentes fundacionales y de herramienta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E. F. Codd</w:t>
      </w:r>
      <w:r>
        <w:t xml:space="preserve">, </w:t>
      </w:r>
      <w:r>
        <w:rPr>
          <w:i/>
          <w:iCs/>
        </w:rPr>
        <w:t xml:space="preserve">A Relational Model of Data for Large Shared Data Banks</w:t>
      </w:r>
      <w:r>
        <w:t xml:space="preserve"> (1970): </w:t>
      </w:r>
      <w:r>
        <w:rPr>
          <w:b/>
          <w:bCs/>
        </w:rPr>
        <w:t xml:space="preserve">de lectura sorprendentemente accesible</w:t>
      </w:r>
      <w:r>
        <w:t xml:space="preserve">, y muestra con claridad </w:t>
      </w:r>
      <w:r>
        <w:rPr>
          <w:b/>
          <w:bCs/>
        </w:rPr>
        <w:t xml:space="preserve">qué problema se estaba resolviendo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ISO/IEC 9075</w:t>
      </w:r>
      <w:r>
        <w:t xml:space="preserve"> norma el lenguaje de consulta, aunque </w:t>
      </w:r>
      <w:r>
        <w:rPr>
          <w:b/>
          <w:bCs/>
        </w:rPr>
        <w:t xml:space="preserve">en la práctica la referencia útil es la del motor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SQLModel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sqlmodel.tiangolo.com</w:t>
      </w:r>
      <w:r>
        <w:t xml:space="preserve">) para la unión de los dos mundos de la sección 4.4, y </w:t>
      </w:r>
      <w:r>
        <w:rPr>
          <w:b/>
          <w:bCs/>
        </w:rPr>
        <w:t xml:space="preserve">Alembic</w:t>
      </w:r>
      <w:r>
        <w:t xml:space="preserve"> para las limitaciones de la comparación automática que la sección 4.11 vuelve práctica obligatoria.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Fowler</w:t>
      </w:r>
      <w:r>
        <w:t xml:space="preserve">, </w:t>
      </w:r>
      <w:r>
        <w:rPr>
          <w:i/>
          <w:iCs/>
        </w:rPr>
        <w:t xml:space="preserve">Patterns of Enterprise Application Architecture</w:t>
      </w:r>
      <w:r>
        <w:t xml:space="preserve"> (2002): donde quedaron nombrados los patrones de acceso a datos que </w:t>
      </w:r>
      <w:r>
        <w:rPr>
          <w:b/>
          <w:bCs/>
        </w:rPr>
        <w:t xml:space="preserve">la clase 6 va a usar</w:t>
      </w:r>
      <w:r>
        <w:t xml:space="preserve">, y cuyo capítulo sobre mapeo objeto-relacional enuncia el desajuste </w:t>
      </w:r>
      <w:r>
        <w:rPr>
          <w:b/>
          <w:bCs/>
        </w:rPr>
        <w:t xml:space="preserve">con más rigor que la mayoría de los textos posteriores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Del TPI</w:t>
      </w:r>
    </w:p>
    <w:p>
      <w:pPr>
        <w:spacing w:after="140" w:line="300"/>
      </w:pPr>
      <w:r>
        <w:t xml:space="preserve">Este capítulo se apoya en </w:t>
      </w:r>
      <w:r>
        <w:rPr>
          <w:b/>
          <w:bCs/>
        </w:rPr>
        <w:t xml:space="preserve">la sección 3 completa</w:t>
      </w:r>
      <w:r>
        <w:t xml:space="preserve"> —sus nueve subsecciones, de las que </w:t>
      </w:r>
      <w:r>
        <w:rPr>
          <w:b/>
          <w:bCs/>
        </w:rPr>
        <w:t xml:space="preserve">la 3.7 y la 3.8 son las que más discusión merecen en clase</w:t>
      </w:r>
      <w:r>
        <w:t xml:space="preserve">—, en la </w:t>
      </w:r>
      <w:r>
        <w:rPr>
          <w:b/>
          <w:bCs/>
        </w:rPr>
        <w:t xml:space="preserve">8.3</w:t>
      </w:r>
      <w:r>
        <w:t xml:space="preserve"> por su tabla de precarga, y en la </w:t>
      </w:r>
      <w:r>
        <w:rPr>
          <w:b/>
          <w:bCs/>
        </w:rPr>
        <w:t xml:space="preserve">16.1</w:t>
      </w:r>
      <w:r>
        <w:t xml:space="preserve"> por las variables de conexión que la sección 4.5 usa.</w:t>
      </w:r>
    </w:p>
    <w:p>
      <w:pPr>
        <w:pStyle w:val="Heading1"/>
        <w:keepNext/>
        <w:spacing w:after="180" w:before="360"/>
      </w:pPr>
      <w:r>
        <w:t xml:space="preserve">Cierre: las seis cosas que hay que recordar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LAS SEIS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Los datos sobreviven al código.</w:t>
            </w:r>
            <w:r>
              <w:t xml:space="preserve"> Un endpoint mal escrito se arregla con un despliegue; un esquema mal pensado se arrastra años.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El ORM esconde el desajuste, no lo elimina.</w:t>
            </w:r>
            <w:r>
              <w:t xml:space="preserve"> La misma línea cuesta nanosegundos en memoria y tres viajes de red contra la base.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La clave foránea va del lado «muchos»</w:t>
            </w:r>
            <w:r>
              <w:t xml:space="preserve">, porque una columna guarda un valor y no una lista.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Declarar una relación no la carga.</w:t>
            </w:r>
            <w:r>
              <w:t xml:space="preserve"> Y la precarga se declara </w:t>
            </w:r>
            <w:r>
              <w:rPr>
                <w:b/>
                <w:bCs/>
              </w:rPr>
              <w:t xml:space="preserve">en el repositorio</w:t>
            </w:r>
            <w:r>
              <w:t xml:space="preserve">, que es el único que sabe cómo se traen los datos.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Una redundancia sin garante no es una optimización: es una bomba de tiempo.</w:t>
            </w:r>
            <w:r>
              <w:t xml:space="preserve"> Restricción si la base puede; prueba si no. Nunca «tener cuidado».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Una migración generada se lee antes de aplicarse.</w:t>
            </w:r>
            <w:r>
              <w:t xml:space="preserve"> Es el único error del sistema que no se deshace con un despliegue.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séptima, que es la pregunta con la que conviene modelar cualquier cosa de acá en adelante: </w:t>
      </w:r>
      <w:r>
        <w:rPr>
          <w:b/>
          <w:bCs/>
        </w:rPr>
        <w:t xml:space="preserve">¿esto describe cómo son las cosas, o registra qué pasó?</w:t>
      </w:r>
      <w:r>
        <w:t xml:space="preserve"> Lo que describe se edita. </w:t>
      </w:r>
      <w:r>
        <w:rPr>
          <w:b/>
          <w:bCs/>
        </w:rPr>
        <w:t xml:space="preserve">Lo que registra no se toca</w:t>
      </w:r>
      <w:r>
        <w:t xml:space="preserve"> — y si hay que corregirlo, se agrega otro registro que lo compense.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a96299ffe2550538c388dda5c7d02d4618d7b8.png"/><Relationship Id="rId8" Type="http://schemas.openxmlformats.org/officeDocument/2006/relationships/image" Target="media/e273df5ba7f9239e61afa903f458f2629d8d5386.png"/><Relationship Id="rId9" Type="http://schemas.openxmlformats.org/officeDocument/2006/relationships/image" Target="media/90bbb80f01708ca7778d57d59e732ed4694f47c9.png"/><Relationship Id="rId10" Type="http://schemas.openxmlformats.org/officeDocument/2006/relationships/image" Target="media/8551134c42f7703ebbc8b0f697a6b2af00d405e8.png"/><Relationship Id="rId11" Type="http://schemas.openxmlformats.org/officeDocument/2006/relationships/image" Target="media/a93f26cebacd3adaa97a5a94b8efd8656a528161.png"/><Relationship Id="rId12" Type="http://schemas.openxmlformats.org/officeDocument/2006/relationships/image" Target="media/5b669fd4b26ed37f77000b1d75bd5942bced573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Persistencia: SQLModel, PostgreSQL y el modelo de datos — en criollo</dc:title>
  <dc:creator>Alberto</dc:creator>
  <dc:description>Traducción didáctica del Capítulo 4</dc:description>
  <cp:lastModifiedBy>Un-named</cp:lastModifiedBy>
  <cp:revision>1</cp:revision>
  <dcterms:created xsi:type="dcterms:W3CDTF">2026-09-02T19:56:14.002Z</dcterms:created>
  <dcterms:modified xsi:type="dcterms:W3CDTF">2026-09-02T19:56:14.002Z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