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1592" w14:textId="1CE4FCC6" w:rsidR="00D56277" w:rsidRDefault="00D56277" w:rsidP="00D56277">
      <w:pPr>
        <w:pStyle w:val="Ttulodelcaptulo"/>
      </w:pPr>
      <w:r w:rsidRPr="00D56277">
        <w:t>Capítulo 2 — Contratos</w:t>
      </w:r>
      <w:r>
        <w:t>: schemas, validación y CRUD</w:t>
      </w:r>
    </w:p>
    <w:p w14:paraId="7FC519A7" w14:textId="77777777" w:rsidR="00D56277" w:rsidRDefault="00D56277" w:rsidP="00D56277">
      <w:pPr>
        <w:pStyle w:val="Subttulodelcaptulo"/>
        <w:rPr>
          <w:rFonts w:cs="Calibri"/>
        </w:rPr>
      </w:pPr>
      <w:r w:rsidRPr="00D56277">
        <w:rPr>
          <w:rFonts w:cs="Calibri"/>
        </w:rPr>
        <w:t>Unidad de estudio · Edición ampliada con fundamentos teóricos</w:t>
      </w:r>
    </w:p>
    <w:p w14:paraId="099DFE8C" w14:textId="3EEC0693" w:rsidR="00D56277" w:rsidRPr="00D56277" w:rsidRDefault="00D56277" w:rsidP="00D56277">
      <w:pPr>
        <w:pStyle w:val="Cuerpocap"/>
        <w:spacing w:before="280" w:after="120"/>
        <w:rPr>
          <w:rFonts w:ascii="Cambria" w:hAnsi="Cambria"/>
          <w:b/>
          <w:color w:val="2E74B5"/>
          <w:sz w:val="26"/>
        </w:rPr>
      </w:pPr>
      <w:r w:rsidRPr="00D56277">
        <w:rPr>
          <w:rFonts w:ascii="Cambria" w:hAnsi="Cambria"/>
          <w:b/>
          <w:color w:val="2E74B5"/>
          <w:sz w:val="26"/>
        </w:rPr>
        <w:t>Contenido</w:t>
      </w:r>
    </w:p>
    <w:p w14:paraId="4FEFEF06" w14:textId="5360D489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fldChar w:fldCharType="begin"/>
      </w:r>
      <w:r>
        <w:instrText>TOC \o "2-3" \h \z \u</w:instrText>
      </w:r>
      <w:r>
        <w:fldChar w:fldCharType="separate"/>
      </w:r>
      <w:hyperlink w:anchor="_Toc238750334" w:history="1">
        <w:r w:rsidRPr="009B2468">
          <w:rPr>
            <w:rStyle w:val="Hipervnculo"/>
            <w:noProof/>
          </w:rPr>
          <w:t>2.1. Alcance de la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B19CFC" w14:textId="0D14C23D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35" w:history="1">
        <w:r w:rsidRPr="009B2468">
          <w:rPr>
            <w:rStyle w:val="Hipervnculo"/>
            <w:noProof/>
          </w:rPr>
          <w:t>2.2. Por qué existe el contrato: origen y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E0474A" w14:textId="09534B8F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36" w:history="1">
        <w:r w:rsidRPr="009B2468">
          <w:rPr>
            <w:rStyle w:val="Hipervnculo"/>
            <w:noProof/>
          </w:rPr>
          <w:t>2.3. Anatomía de un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1BB042" w14:textId="4DF17E7A" w:rsidR="00D56277" w:rsidRDefault="00D56277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37" w:history="1">
        <w:r w:rsidRPr="009B2468">
          <w:rPr>
            <w:rStyle w:val="Hipervnculo"/>
            <w:noProof/>
          </w:rPr>
          <w:t>2.3.1. Cuando la restricción no entra en un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45ADAA" w14:textId="113E9385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38" w:history="1">
        <w:r w:rsidRPr="009B2468">
          <w:rPr>
            <w:rStyle w:val="Hipervnculo"/>
            <w:noProof/>
          </w:rPr>
          <w:t>2.4. Qué ocurre durante la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243CDB" w14:textId="39D30B8E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39" w:history="1">
        <w:r w:rsidRPr="009B2468">
          <w:rPr>
            <w:rStyle w:val="Hipervnculo"/>
            <w:noProof/>
          </w:rPr>
          <w:t>2.5. Modelos segregados: por qué tres y no 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3F7F30" w14:textId="6F61A81E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0" w:history="1">
        <w:r w:rsidRPr="009B2468">
          <w:rPr>
            <w:rStyle w:val="Hipervnculo"/>
            <w:noProof/>
          </w:rPr>
          <w:t>2.6. Actualización parcial: ausente contra nulo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FF4847" w14:textId="69CD724D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1" w:history="1">
        <w:r w:rsidRPr="009B2468">
          <w:rPr>
            <w:rStyle w:val="Hipervnculo"/>
            <w:noProof/>
          </w:rPr>
          <w:t>2.7. El dinero y las cantidades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49E96" w14:textId="5FF30D91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2" w:history="1">
        <w:r w:rsidRPr="009B2468">
          <w:rPr>
            <w:rStyle w:val="Hipervnculo"/>
            <w:noProof/>
          </w:rPr>
          <w:t>2.8. Los verbos y sus códigos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C4D5AF" w14:textId="16A2BE40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3" w:history="1">
        <w:r w:rsidRPr="009B2468">
          <w:rPr>
            <w:rStyle w:val="Hipervnculo"/>
            <w:noProof/>
          </w:rPr>
          <w:t>2.9. Colecciones: envoltorio, paginación y ordenamiento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46515A" w14:textId="7210C14C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4" w:history="1">
        <w:r w:rsidRPr="009B2468">
          <w:rPr>
            <w:rStyle w:val="Hipervnculo"/>
            <w:noProof/>
          </w:rPr>
          <w:t>2.10. Errores: un formato normado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AB94B5" w14:textId="7B3F6142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5" w:history="1">
        <w:r w:rsidRPr="009B2468">
          <w:rPr>
            <w:rStyle w:val="Hipervnculo"/>
            <w:noProof/>
          </w:rPr>
          <w:t>2.11. Observabilidad: el identificador de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74A146" w14:textId="46CD912F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6" w:history="1">
        <w:r w:rsidRPr="009B2468">
          <w:rPr>
            <w:rStyle w:val="Hipervnculo"/>
            <w:noProof/>
          </w:rPr>
          <w:t>2.12. Herramientas de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5BBE46" w14:textId="70A424F1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7" w:history="1">
        <w:r w:rsidRPr="009B2468">
          <w:rPr>
            <w:rStyle w:val="Hipervnculo"/>
            <w:noProof/>
          </w:rPr>
          <w:t>2.13. Seguridad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9F6BB2" w14:textId="422DE600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8" w:history="1">
        <w:r w:rsidRPr="009B2468">
          <w:rPr>
            <w:rStyle w:val="Hipervnculo"/>
            <w:noProof/>
          </w:rPr>
          <w:t>2.14.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F348CF" w14:textId="49F993DF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49" w:history="1">
        <w:r w:rsidRPr="009B2468">
          <w:rPr>
            <w:rStyle w:val="Hipervnculo"/>
            <w:noProof/>
          </w:rPr>
          <w:t>2.15. 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3CE910" w14:textId="5DEE4C17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50" w:history="1">
        <w:r w:rsidRPr="009B2468">
          <w:rPr>
            <w:rStyle w:val="Hipervnculo"/>
            <w:noProof/>
          </w:rPr>
          <w:t>2.16.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C61008" w14:textId="3CD11F99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51" w:history="1">
        <w:r w:rsidRPr="009B2468">
          <w:rPr>
            <w:rStyle w:val="Hipervnculo"/>
            <w:noProof/>
          </w:rPr>
          <w:t>2.17. Síntesis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62019D" w14:textId="0879086A" w:rsidR="00D56277" w:rsidRDefault="00D56277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8750352" w:history="1">
        <w:r w:rsidRPr="009B2468">
          <w:rPr>
            <w:rStyle w:val="Hipervnculo"/>
            <w:noProof/>
          </w:rPr>
          <w:t>2.18. Referencias y lecturas complementarias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9A6A82" w14:textId="75E49D81" w:rsidR="00D56277" w:rsidRDefault="00D56277" w:rsidP="00D56277">
      <w:pPr>
        <w:pStyle w:val="Ttulo2cap"/>
      </w:pPr>
      <w:r>
        <w:fldChar w:fldCharType="end"/>
      </w:r>
      <w:bookmarkStart w:id="0" w:name="_Toc238750334"/>
      <w:r>
        <w:t>2.1. Alcance de la clase</w:t>
      </w:r>
      <w:bookmarkEnd w:id="0"/>
    </w:p>
    <w:p w14:paraId="1D9D65F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El capítulo anterior terminó con una afirmación que conviene tomar en serio: </w:t>
      </w:r>
      <w:r w:rsidRPr="00D56277">
        <w:rPr>
          <w:rFonts w:cs="Calibri"/>
          <w:b/>
        </w:rPr>
        <w:t>la especificación de la API se deriva del código y por lo tanto no puede desactualizarse.</w:t>
      </w:r>
      <w:r w:rsidRPr="00D56277">
        <w:rPr>
          <w:rFonts w:cs="Calibri"/>
        </w:rPr>
        <w:t xml:space="preserve"> Este capítulo es el que convierte esa afirmación en algo con consecuencias, porque estudia </w:t>
      </w:r>
      <w:r w:rsidRPr="00D56277">
        <w:rPr>
          <w:rFonts w:cs="Calibri"/>
          <w:b/>
        </w:rPr>
        <w:t>qué se declara</w:t>
      </w:r>
      <w:r w:rsidRPr="00D56277">
        <w:rPr>
          <w:rFonts w:cs="Calibri"/>
        </w:rPr>
        <w:t xml:space="preserve"> para que esa especificación diga lo correcto.</w:t>
      </w:r>
    </w:p>
    <w:p w14:paraId="00C9D37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palabra que ordena la clase es </w:t>
      </w:r>
      <w:r w:rsidRPr="00D56277">
        <w:rPr>
          <w:rFonts w:cs="Calibri"/>
          <w:b/>
        </w:rPr>
        <w:t>contrato</w:t>
      </w:r>
      <w:r w:rsidRPr="00D56277">
        <w:rPr>
          <w:rFonts w:cs="Calibri"/>
        </w:rPr>
        <w:t xml:space="preserve">. Un contrato es un acuerdo entre dos partes sobre qué se manda, qué se devuelve y qué pasa cuando algo no cumple. Cuando las dos partes son dos equipos —como en esta cursada, donde una mitad escribe el servidor y la otra el cliente— ese acuerdo deja de ser un detalle técnico y pasa a ser </w:t>
      </w:r>
      <w:r w:rsidRPr="00D56277">
        <w:rPr>
          <w:rFonts w:cs="Calibri"/>
          <w:b/>
        </w:rPr>
        <w:t>el principal punto de fricción del proyecto</w:t>
      </w:r>
      <w:r w:rsidRPr="00D56277">
        <w:rPr>
          <w:rFonts w:cs="Calibri"/>
        </w:rPr>
        <w:t>.</w:t>
      </w:r>
    </w:p>
    <w:p w14:paraId="2895909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Hay una razón concreta para que esta clase sea la segunda y no la sexta. Al terminarla, el backend tiene </w:t>
      </w:r>
      <w:r w:rsidRPr="00D56277">
        <w:rPr>
          <w:rFonts w:cs="Calibri"/>
          <w:b/>
        </w:rPr>
        <w:t>un contrato publicado y navegable</w:t>
      </w:r>
      <w:r w:rsidRPr="00D56277">
        <w:rPr>
          <w:rFonts w:cs="Calibri"/>
        </w:rPr>
        <w:t xml:space="preserve">, aunque todavía no haya base de datos. La </w:t>
      </w:r>
      <w:r w:rsidRPr="00D56277">
        <w:rPr>
          <w:rFonts w:cs="Calibri"/>
        </w:rPr>
        <w:lastRenderedPageBreak/>
        <w:t xml:space="preserve">otra mitad de la cursada está esa semana con hojas de estilo y no lo necesita todavía; cuando lo necesite —cuatro semanas después, al tipar el contrato en TypeScript— </w:t>
      </w:r>
      <w:r w:rsidRPr="00D56277">
        <w:rPr>
          <w:rFonts w:cs="Calibri"/>
          <w:b/>
        </w:rPr>
        <w:t>va a existir hace un mes y va a estar corriendo.</w:t>
      </w:r>
      <w:r w:rsidRPr="00D56277">
        <w:rPr>
          <w:rFonts w:cs="Calibri"/>
        </w:rPr>
        <w:t xml:space="preserve"> Tipar contra algo que responde es una situación muy distinta de tipar contra una tabla de un documento.</w:t>
      </w:r>
    </w:p>
    <w:p w14:paraId="116CCC36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El capítulo también introduce una decisión del TPI que sorprende a todo el mundo la primera vez y que se enuncia acá aunque no haya persistencia: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4E83FC7A" w14:textId="77777777" w:rsidTr="00D56277">
        <w:tc>
          <w:tcPr>
            <w:tcW w:w="8494" w:type="dxa"/>
            <w:shd w:val="clear" w:color="EFEFEF" w:fill="EFEFEF"/>
          </w:tcPr>
          <w:p w14:paraId="3F7A365A" w14:textId="3879AFB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 xml:space="preserve">Todos los importes son </w:t>
            </w:r>
            <w:r w:rsidRPr="00D56277">
              <w:rPr>
                <w:rFonts w:ascii="Consolas" w:hAnsi="Consolas" w:cs="Calibri"/>
                <w:b/>
                <w:sz w:val="20"/>
              </w:rPr>
              <w:t>DECIMAL(10,2)</w:t>
            </w:r>
            <w:r w:rsidRPr="00D56277">
              <w:rPr>
                <w:rFonts w:cs="Calibri"/>
                <w:b/>
              </w:rPr>
              <w:t xml:space="preserve"> y viajan en JSON como cadena decimal</w:t>
            </w:r>
            <w:r w:rsidRPr="00D56277">
              <w:rPr>
                <w:rFonts w:cs="Calibri"/>
              </w:rPr>
              <w:t xml:space="preserve"> —</w:t>
            </w:r>
            <w:r w:rsidRPr="00D56277">
              <w:rPr>
                <w:rFonts w:ascii="Consolas" w:hAnsi="Consolas" w:cs="Calibri"/>
                <w:sz w:val="20"/>
              </w:rPr>
              <w:t>"1234.50"</w:t>
            </w:r>
            <w:r w:rsidRPr="00D56277">
              <w:rPr>
                <w:rFonts w:cs="Calibri"/>
              </w:rPr>
              <w:t xml:space="preserve">—. El tipo TypeScript espejo es </w:t>
            </w:r>
            <w:r w:rsidRPr="00D56277">
              <w:rPr>
                <w:rFonts w:ascii="Consolas" w:hAnsi="Consolas" w:cs="Calibri"/>
                <w:sz w:val="20"/>
              </w:rPr>
              <w:t>string</w:t>
            </w:r>
            <w:r w:rsidRPr="00D56277">
              <w:rPr>
                <w:rFonts w:cs="Calibri"/>
              </w:rPr>
              <w:t>.</w:t>
            </w:r>
          </w:p>
        </w:tc>
      </w:tr>
    </w:tbl>
    <w:p w14:paraId="00B941D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Esa es la mitad de arriba de una regla que la otra mitad de la cursada estudia como RN-F08. Acá se ve por qué el servidor la impone.</w:t>
      </w:r>
    </w:p>
    <w:p w14:paraId="117CBC4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Al finalizar la clase, el alumno debe poder </w:t>
      </w:r>
      <w:r w:rsidRPr="00D56277">
        <w:rPr>
          <w:rFonts w:cs="Calibri"/>
          <w:b/>
        </w:rPr>
        <w:t>escribir los schemas de cualquier módulo de la sección 7 del TPI</w:t>
      </w:r>
      <w:r w:rsidRPr="00D56277">
        <w:rPr>
          <w:rFonts w:cs="Calibri"/>
        </w:rPr>
        <w:t>, implementar su CRUD con los verbos y los códigos de estado correctos, y explicar por qué hacen falta tres modelos por entidad y no uno.</w:t>
      </w:r>
    </w:p>
    <w:p w14:paraId="5EA085D2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  <w:b/>
        </w:rPr>
        <w:t>Contenidos</w:t>
      </w:r>
    </w:p>
    <w:p w14:paraId="05EB5AA1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Origen y objetivos de diseño del contrato entre sistemas.</w:t>
      </w:r>
    </w:p>
    <w:p w14:paraId="3B486CE7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Anatomía de un modelo: campos, restricciones y anotaciones.</w:t>
      </w:r>
    </w:p>
    <w:p w14:paraId="15F3E584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Qué ocurre durante la validación, y en qué orden.</w:t>
      </w:r>
    </w:p>
    <w:p w14:paraId="2095E525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 xml:space="preserve">El </w:t>
      </w:r>
      <w:r w:rsidRPr="00D56277">
        <w:rPr>
          <w:rFonts w:ascii="Consolas" w:hAnsi="Consolas" w:cs="Calibri"/>
          <w:color w:val="000000"/>
          <w:sz w:val="20"/>
        </w:rPr>
        <w:t>422</w:t>
      </w:r>
      <w:r w:rsidRPr="00D56277">
        <w:rPr>
          <w:rFonts w:ascii="Calibri" w:hAnsi="Calibri" w:cs="Calibri"/>
          <w:color w:val="000000"/>
        </w:rPr>
        <w:t xml:space="preserve"> y la lectura de su cuerpo.</w:t>
      </w:r>
    </w:p>
    <w:p w14:paraId="2E3A2EDC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Modelos segregados: por qué tres y no uno.</w:t>
      </w:r>
    </w:p>
    <w:p w14:paraId="430A8844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Actualización parcial: el campo ausente y el campo nulo.</w:t>
      </w:r>
    </w:p>
    <w:p w14:paraId="1AC47373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El dinero y las cantidades: por qué viajan como texto.</w:t>
      </w:r>
    </w:p>
    <w:p w14:paraId="4DFC2E28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 xml:space="preserve">Los verbos del TPI y por qué </w:t>
      </w:r>
      <w:r w:rsidRPr="00D56277">
        <w:rPr>
          <w:rFonts w:ascii="Consolas" w:hAnsi="Consolas" w:cs="Calibri"/>
          <w:color w:val="000000"/>
          <w:sz w:val="20"/>
        </w:rPr>
        <w:t>PUT</w:t>
      </w:r>
      <w:r w:rsidRPr="00D56277">
        <w:rPr>
          <w:rFonts w:ascii="Calibri" w:hAnsi="Calibri" w:cs="Calibri"/>
          <w:color w:val="000000"/>
        </w:rPr>
        <w:t xml:space="preserve"> no se usa.</w:t>
      </w:r>
    </w:p>
    <w:p w14:paraId="09EFB624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Colecciones: envoltorio, paginación y ordenamiento.</w:t>
      </w:r>
    </w:p>
    <w:p w14:paraId="36794FAD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Errores: el formato normado y el catálogo de códigos.</w:t>
      </w:r>
    </w:p>
    <w:p w14:paraId="28052791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Observabilidad: el identificador de petición.</w:t>
      </w:r>
    </w:p>
    <w:p w14:paraId="7E5D0BD0" w14:textId="77777777" w:rsidR="00D56277" w:rsidRDefault="00D56277" w:rsidP="00D56277">
      <w:pPr>
        <w:pStyle w:val="Listaconnmeros"/>
        <w:spacing w:after="80"/>
        <w:ind w:left="720"/>
        <w:rPr>
          <w:rFonts w:ascii="Calibri" w:hAnsi="Calibri" w:cs="Calibri"/>
          <w:color w:val="000000"/>
        </w:rPr>
      </w:pPr>
      <w:r w:rsidRPr="00D56277">
        <w:rPr>
          <w:rFonts w:ascii="Calibri" w:hAnsi="Calibri" w:cs="Calibri"/>
          <w:color w:val="000000"/>
        </w:rPr>
        <w:t>Herramientas de diagnóstico.</w:t>
      </w:r>
    </w:p>
    <w:p w14:paraId="4DBA6D45" w14:textId="77777777" w:rsidR="00D56277" w:rsidRDefault="00D56277" w:rsidP="00D56277">
      <w:pPr>
        <w:pStyle w:val="Ttulo2cap"/>
      </w:pPr>
      <w:bookmarkStart w:id="1" w:name="_Toc238750335"/>
      <w:r>
        <w:t>2.2. Por qué existe el contrato: origen y diseño</w:t>
      </w:r>
      <w:bookmarkEnd w:id="1"/>
    </w:p>
    <w:p w14:paraId="382F9190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Cuando dos sistemas se hablan, alguien tiene que decidir qué significa cada campo. La historia de cómo se resolvió eso tiene tres etapas, y de cada una queda algo.</w:t>
      </w:r>
    </w:p>
    <w:p w14:paraId="6036EE2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Primera etapa: el contrato rígido y generado.</w:t>
      </w:r>
      <w:r w:rsidRPr="00D56277">
        <w:rPr>
          <w:rFonts w:cs="Calibri"/>
        </w:rPr>
        <w:t xml:space="preserve"> A principios de los 2000, el enfoque dominante para servicios web fue SOAP, con contratos escritos en WSDL. La propuesta era fuerte: el contrato es un documento formal, y a partir de él </w:t>
      </w:r>
      <w:r w:rsidRPr="00D56277">
        <w:rPr>
          <w:rFonts w:cs="Calibri"/>
          <w:b/>
        </w:rPr>
        <w:t>se generan automáticamente el cliente y el servidor</w:t>
      </w:r>
      <w:r w:rsidRPr="00D56277">
        <w:rPr>
          <w:rFonts w:cs="Calibri"/>
        </w:rPr>
        <w:t>. Nada podía desajustarse, porque las dos partes salían del mismo archivo.</w:t>
      </w:r>
    </w:p>
    <w:p w14:paraId="5A6E5062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t xml:space="preserve">Funcionó y se abandonó, y el motivo es instructivo. El contrato era </w:t>
      </w:r>
      <w:r w:rsidRPr="00D56277">
        <w:rPr>
          <w:rFonts w:cs="Calibri"/>
          <w:b/>
        </w:rPr>
        <w:t>enorme y frágil</w:t>
      </w:r>
      <w:r w:rsidRPr="00D56277">
        <w:rPr>
          <w:rFonts w:cs="Calibri"/>
        </w:rPr>
        <w:t xml:space="preserve">: cambiar un campo obligaba a regenerar y redesplegar todo, los documentos eran ilegibles para un humano, y el acoplamiento entre las partes era tan fuerte que evolucionar por separado se volvía imposible. </w:t>
      </w:r>
      <w:r w:rsidRPr="00D56277">
        <w:rPr>
          <w:rFonts w:cs="Calibri"/>
          <w:b/>
        </w:rPr>
        <w:t>Se había resuelto el desajuste al precio de que nada pudiera moverse.</w:t>
      </w:r>
    </w:p>
    <w:p w14:paraId="1C534A1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lastRenderedPageBreak/>
        <w:t>Segunda etapa: sin contrato formal.</w:t>
      </w:r>
      <w:r w:rsidRPr="00D56277">
        <w:rPr>
          <w:rFonts w:cs="Calibri"/>
        </w:rPr>
        <w:t xml:space="preserve"> El estilo REST, que se impuso después, no traía ningún mecanismo de contrato. La API era un conjunto de rutas que devolvían JSON, y </w:t>
      </w:r>
      <w:r w:rsidRPr="00D56277">
        <w:rPr>
          <w:rFonts w:cs="Calibri"/>
          <w:b/>
        </w:rPr>
        <w:t>la documentación se escribía a mano en un archivo aparte</w:t>
      </w:r>
      <w:r w:rsidRPr="00D56277">
        <w:rPr>
          <w:rFonts w:cs="Calibri"/>
        </w:rPr>
        <w:t>.</w:t>
      </w:r>
    </w:p>
    <w:p w14:paraId="3568D39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Eso resolvió la rigidez y creó el problema opuesto, que es el que este módulo combate: </w:t>
      </w:r>
      <w:r w:rsidRPr="00D56277">
        <w:rPr>
          <w:rFonts w:cs="Calibri"/>
          <w:b/>
        </w:rPr>
        <w:t>un documento escrito a mano se desactualiza el día que alguien cambia un campo y no lo actualiza.</w:t>
      </w:r>
      <w:r w:rsidRPr="00D56277">
        <w:rPr>
          <w:rFonts w:cs="Calibri"/>
        </w:rPr>
        <w:t xml:space="preserve"> Y a partir de ese momento el documento no avisa que miente: sigue ahí, prolijo, describiendo algo que ya no existe. El cliente implementa contra la mentira y el error aparece en integración.</w:t>
      </w:r>
    </w:p>
    <w:p w14:paraId="6153398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Tercera etapa: el contrato derivado del código.</w:t>
      </w:r>
      <w:r w:rsidRPr="00D56277">
        <w:rPr>
          <w:rFonts w:cs="Calibri"/>
        </w:rPr>
        <w:t xml:space="preserve"> En 2011, Tony Tam publicó </w:t>
      </w:r>
      <w:r w:rsidRPr="00D56277">
        <w:rPr>
          <w:rFonts w:cs="Calibri"/>
          <w:b/>
        </w:rPr>
        <w:t>Swagger</w:t>
      </w:r>
      <w:r w:rsidRPr="00D56277">
        <w:rPr>
          <w:rFonts w:cs="Calibri"/>
        </w:rPr>
        <w:t xml:space="preserve">, con una idea intermedia: que la especificación se genere a partir del código, en un formato legible tanto por humanos como por herramientas. En 2015 el proyecto se donó a la Linux Foundation y pasó a llamarse </w:t>
      </w:r>
      <w:r w:rsidRPr="00D56277">
        <w:rPr>
          <w:rFonts w:cs="Calibri"/>
          <w:b/>
        </w:rPr>
        <w:t>OpenAPI</w:t>
      </w:r>
      <w:r w:rsidRPr="00D56277">
        <w:rPr>
          <w:rFonts w:cs="Calibri"/>
        </w:rPr>
        <w:t>; su versión 3.1, de 2021, se alineó con JSON Schema.</w:t>
      </w:r>
    </w:p>
    <w:p w14:paraId="7F26A45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combinación gana las dos cosas: </w:t>
      </w:r>
      <w:r w:rsidRPr="00D56277">
        <w:rPr>
          <w:rFonts w:cs="Calibri"/>
          <w:b/>
        </w:rPr>
        <w:t>el contrato no se puede desactualizar</w:t>
      </w:r>
      <w:r w:rsidRPr="00D56277">
        <w:rPr>
          <w:rFonts w:cs="Calibri"/>
        </w:rPr>
        <w:t xml:space="preserve"> —porque no existe separado del código— y </w:t>
      </w:r>
      <w:r w:rsidRPr="00D56277">
        <w:rPr>
          <w:rFonts w:cs="Calibri"/>
          <w:b/>
        </w:rPr>
        <w:t>no acopla</w:t>
      </w:r>
      <w:r w:rsidRPr="00D56277">
        <w:rPr>
          <w:rFonts w:cs="Calibri"/>
        </w:rPr>
        <w:t xml:space="preserve"> —porque no se generan las dos partes del mismo archivo, sino que cada una lo lee y decide qué hacer—.</w:t>
      </w:r>
    </w:p>
    <w:p w14:paraId="2B55C7D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Falta la otra mitad de la historia: </w:t>
      </w:r>
      <w:r w:rsidRPr="00D56277">
        <w:rPr>
          <w:rFonts w:cs="Calibri"/>
          <w:b/>
        </w:rPr>
        <w:t>cómo se declaran esas formas.</w:t>
      </w:r>
      <w:r w:rsidRPr="00D56277">
        <w:rPr>
          <w:rFonts w:cs="Calibri"/>
        </w:rPr>
        <w:t xml:space="preserve"> Durante años la validación se programaba a mano, con condicionales que revisaban cada campo. En 2017, Samuel Colvin publicó </w:t>
      </w:r>
      <w:r w:rsidRPr="00D56277">
        <w:rPr>
          <w:rFonts w:cs="Calibri"/>
          <w:b/>
        </w:rPr>
        <w:t>Pydantic</w:t>
      </w:r>
      <w:r w:rsidRPr="00D56277">
        <w:rPr>
          <w:rFonts w:cs="Calibri"/>
        </w:rPr>
        <w:t xml:space="preserve">, con una propuesta distinta: </w:t>
      </w:r>
      <w:r w:rsidRPr="00D56277">
        <w:rPr>
          <w:rFonts w:cs="Calibri"/>
          <w:b/>
        </w:rPr>
        <w:t>usar las anotaciones de tipo del propio lenguaje</w:t>
      </w:r>
      <w:r w:rsidRPr="00D56277">
        <w:rPr>
          <w:rFonts w:cs="Calibri"/>
        </w:rPr>
        <w:t xml:space="preserve"> —que existían desde Python 3.5 y hasta entonces eran sólo documentación— para validar en tiempo de ejecución. Su versión 2, de 2023, reescribió el núcleo en Rust y lo volvió lo bastante rápido para no ser un costo.</w:t>
      </w:r>
    </w:p>
    <w:p w14:paraId="124E341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De ese recorrido salen las cuatro decisiones de diseño que gobiernan el capítulo.</w:t>
      </w:r>
    </w:p>
    <w:p w14:paraId="5322356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Primera: el tipo es la validación.</w:t>
      </w:r>
      <w:r w:rsidRPr="00D56277">
        <w:rPr>
          <w:rFonts w:cs="Calibri"/>
        </w:rPr>
        <w:t xml:space="preserve"> No se declara y además se valida: </w:t>
      </w:r>
      <w:r w:rsidRPr="00D56277">
        <w:rPr>
          <w:rFonts w:cs="Calibri"/>
          <w:b/>
        </w:rPr>
        <w:t>declarar es validar</w:t>
      </w:r>
      <w:r w:rsidRPr="00D56277">
        <w:rPr>
          <w:rFonts w:cs="Calibri"/>
        </w:rPr>
        <w:t>. Es lo que el Capítulo 1 señaló al decir que las anotaciones dejaron de ser documentación y pasaron a ser comportamiento.</w:t>
      </w:r>
    </w:p>
    <w:p w14:paraId="68FD9BB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Segunda: el contrato se deriva del código.</w:t>
      </w:r>
      <w:r w:rsidRPr="00D56277">
        <w:rPr>
          <w:rFonts w:cs="Calibri"/>
        </w:rPr>
        <w:t xml:space="preserve"> Es la lección de las tres etapas.</w:t>
      </w:r>
    </w:p>
    <w:p w14:paraId="70C2682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Tercera: fallar temprano y con detalle.</w:t>
      </w:r>
      <w:r w:rsidRPr="00D56277">
        <w:rPr>
          <w:rFonts w:cs="Calibri"/>
        </w:rPr>
        <w:t xml:space="preserve"> Si la entrada no cumple, se rechaza </w:t>
      </w:r>
      <w:r w:rsidRPr="00D56277">
        <w:rPr>
          <w:rFonts w:cs="Calibri"/>
          <w:b/>
        </w:rPr>
        <w:t>antes</w:t>
      </w:r>
      <w:r w:rsidRPr="00D56277">
        <w:rPr>
          <w:rFonts w:cs="Calibri"/>
        </w:rPr>
        <w:t xml:space="preserve"> de que corra la lógica, y el rechazo dice exactamente qué campo falló, qué se esperaba y qué llegó.</w:t>
      </w:r>
    </w:p>
    <w:p w14:paraId="61403CC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Cuarta: entrada y salida son cosas distintas.</w:t>
      </w:r>
      <w:r w:rsidRPr="00D56277">
        <w:rPr>
          <w:rFonts w:cs="Calibri"/>
        </w:rPr>
        <w:t xml:space="preserve"> El modelo con el que se recibe no es el modelo con el que se responde, y ninguno de los dos es la tabla. La sección 2.6 desarrolla por qué.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:rsidRPr="00D56277" w14:paraId="0840C573" w14:textId="77777777" w:rsidTr="00D56277">
        <w:tc>
          <w:tcPr>
            <w:tcW w:w="8494" w:type="dxa"/>
            <w:shd w:val="clear" w:color="FFFFFF" w:fill="FFFFFF"/>
            <w:vAlign w:val="center"/>
          </w:tcPr>
          <w:p w14:paraId="53413951" w14:textId="0FBF0C3E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drawing>
                <wp:inline distT="0" distB="0" distL="0" distR="0" wp14:anchorId="2F456577" wp14:editId="61704BDC">
                  <wp:extent cx="5191319" cy="1231900"/>
                  <wp:effectExtent l="0" t="0" r="9525" b="6350"/>
                  <wp:docPr id="108311808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1808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319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8BA1A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>Figura 2.1. Del contrato generado al contrato derivado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0E14B200" w14:textId="77777777" w:rsidTr="00D56277">
        <w:tc>
          <w:tcPr>
            <w:tcW w:w="8494" w:type="dxa"/>
            <w:shd w:val="clear" w:color="DEEBF7" w:fill="DEEBF7"/>
          </w:tcPr>
          <w:p w14:paraId="346B291B" w14:textId="3430E94A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2E74B5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2E74B5"/>
                <w:sz w:val="20"/>
              </w:rPr>
              <w:lastRenderedPageBreak/>
              <w:t>💡</w:t>
            </w:r>
            <w:r w:rsidRPr="00D56277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</w:tc>
      </w:tr>
      <w:tr w:rsidR="00D56277" w:rsidRPr="00D56277" w14:paraId="7520212E" w14:textId="77777777" w:rsidTr="00D56277">
        <w:tc>
          <w:tcPr>
            <w:tcW w:w="8494" w:type="dxa"/>
            <w:shd w:val="clear" w:color="DEEBF7" w:fill="DEEBF7"/>
          </w:tcPr>
          <w:p w14:paraId="4AFD5E86" w14:textId="53728F6D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Fijate en el patrón, porque es el mismo que vas a encontrar en toda la carrera:</w:t>
            </w:r>
          </w:p>
        </w:tc>
      </w:tr>
      <w:tr w:rsidR="00D56277" w:rsidRPr="00D56277" w14:paraId="2FE1C1E6" w14:textId="77777777" w:rsidTr="00D56277">
        <w:tc>
          <w:tcPr>
            <w:tcW w:w="8494" w:type="dxa"/>
            <w:shd w:val="clear" w:color="DEEBF7" w:fill="DEEBF7"/>
          </w:tcPr>
          <w:p w14:paraId="6CA5CE21" w14:textId="6CF536BD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SOAP resolvió el desajuste haciendo que nada pudiera moverse. REST resolvió la rigidez perdiendo la garantía. OpenAPI busca el punto medio.</w:t>
            </w:r>
          </w:p>
        </w:tc>
      </w:tr>
      <w:tr w:rsidR="00D56277" w:rsidRPr="00D56277" w14:paraId="415E0967" w14:textId="77777777" w:rsidTr="00D56277">
        <w:tc>
          <w:tcPr>
            <w:tcW w:w="8494" w:type="dxa"/>
            <w:shd w:val="clear" w:color="DEEBF7" w:fill="DEEBF7"/>
          </w:tcPr>
          <w:p w14:paraId="02D85C6A" w14:textId="1641F15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Nadie inventó nada mágico. Cada etapa </w:t>
            </w:r>
            <w:r w:rsidRPr="00D56277">
              <w:rPr>
                <w:rFonts w:cs="Calibri"/>
                <w:b/>
              </w:rPr>
              <w:t>resignó algo distinto</w:t>
            </w:r>
            <w:r w:rsidRPr="00D56277">
              <w:rPr>
                <w:rFonts w:cs="Calibri"/>
              </w:rPr>
              <w:t>, y la que ganó fue la que resignó lo que menos dolía en ese momento.</w:t>
            </w:r>
          </w:p>
        </w:tc>
      </w:tr>
      <w:tr w:rsidR="00D56277" w:rsidRPr="00D56277" w14:paraId="1C5A31EA" w14:textId="77777777" w:rsidTr="00D56277">
        <w:tc>
          <w:tcPr>
            <w:tcW w:w="8494" w:type="dxa"/>
            <w:shd w:val="clear" w:color="DEEBF7" w:fill="DEEBF7"/>
          </w:tcPr>
          <w:p w14:paraId="4F9B856B" w14:textId="7AD35F4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Y ojo con la trampa: no es que OpenAPI sea "la solución definitiva". Es la solución a los problemas de las dos anteriores, con sus propios costos —que el contrato depende de que vos declares bien los tipos, por ejemplo—.</w:t>
            </w:r>
          </w:p>
        </w:tc>
      </w:tr>
      <w:tr w:rsidR="00D56277" w:rsidRPr="00D56277" w14:paraId="7D049765" w14:textId="77777777" w:rsidTr="00D56277">
        <w:tc>
          <w:tcPr>
            <w:tcW w:w="8494" w:type="dxa"/>
            <w:shd w:val="clear" w:color="DEEBF7" w:fill="DEEBF7"/>
          </w:tcPr>
          <w:p w14:paraId="4B39A1E4" w14:textId="19FA2E9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La pregunta que te tenés que hacer con cada herramienta es siempre la misma: ¿qué resignó para funcionar?</w:t>
            </w:r>
            <w:r w:rsidRPr="00D56277">
              <w:rPr>
                <w:rFonts w:cs="Calibri"/>
              </w:rPr>
              <w:t xml:space="preserve"> Si no lo ves, todavía no la entendiste.</w:t>
            </w:r>
          </w:p>
        </w:tc>
      </w:tr>
    </w:tbl>
    <w:p w14:paraId="5BA9A3A6" w14:textId="77777777" w:rsidR="00D56277" w:rsidRDefault="00D56277" w:rsidP="00D56277">
      <w:pPr>
        <w:pStyle w:val="Ttulo2cap"/>
      </w:pPr>
      <w:bookmarkStart w:id="2" w:name="_Toc238750336"/>
      <w:r>
        <w:t>2.3. Anatomía de un modelo</w:t>
      </w:r>
      <w:bookmarkEnd w:id="2"/>
    </w:p>
    <w:p w14:paraId="1437E30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Un modelo declara la forma de un dato:</w:t>
      </w:r>
    </w:p>
    <w:p w14:paraId="1D14AC46" w14:textId="77777777" w:rsidR="00D56277" w:rsidRDefault="00D56277" w:rsidP="00D56277">
      <w:pPr>
        <w:pStyle w:val="Bloquedecdigo"/>
      </w:pPr>
      <w:r w:rsidRPr="00D56277">
        <w:t>from decimal import Decimal</w:t>
      </w:r>
      <w:r w:rsidRPr="00D56277">
        <w:br/>
        <w:t>from typing import Annotated</w:t>
      </w:r>
      <w:r w:rsidRPr="00D56277">
        <w:br/>
        <w:t>from pydantic import BaseModel, Field</w:t>
      </w:r>
      <w:r w:rsidRPr="00D56277">
        <w:br/>
      </w:r>
      <w:r w:rsidRPr="00D56277">
        <w:br/>
        <w:t>class ProductoCreate(BaseModel):</w:t>
      </w:r>
      <w:r w:rsidRPr="00D56277">
        <w:br/>
        <w:t xml:space="preserve">    nombre: Annotated[str, Field(min_length=1, max_length=120)]</w:t>
      </w:r>
      <w:r w:rsidRPr="00D56277">
        <w:br/>
        <w:t xml:space="preserve">    descripcion: Annotated[str | None, Field(max_length=500)] = None</w:t>
      </w:r>
      <w:r w:rsidRPr="00D56277">
        <w:br/>
        <w:t xml:space="preserve">    precio: Annotated[Decimal, Field(gt=0, max_digits=10, decimal_places=2)]</w:t>
      </w:r>
      <w:r w:rsidRPr="00D56277">
        <w:br/>
        <w:t xml:space="preserve">    categoria_id: Annotated[int, Field(gt=0)]</w:t>
      </w:r>
      <w:r w:rsidRPr="00D56277">
        <w:br/>
        <w:t xml:space="preserve">    disponible: bool = True</w:t>
      </w:r>
    </w:p>
    <w:p w14:paraId="54B8BAF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Cada línea declara cuatro cosas a la vez, y conviene tenerlas separadas: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6277" w:rsidRPr="00D56277" w14:paraId="70FDC268" w14:textId="77777777" w:rsidTr="00D56277">
        <w:tc>
          <w:tcPr>
            <w:tcW w:w="2831" w:type="dxa"/>
            <w:shd w:val="clear" w:color="D9E2F3" w:fill="D9E2F3"/>
          </w:tcPr>
          <w:p w14:paraId="4FF87B06" w14:textId="43826302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Elemento</w:t>
            </w:r>
          </w:p>
        </w:tc>
        <w:tc>
          <w:tcPr>
            <w:tcW w:w="2831" w:type="dxa"/>
            <w:shd w:val="clear" w:color="D9E2F3" w:fill="D9E2F3"/>
          </w:tcPr>
          <w:p w14:paraId="0A946C8D" w14:textId="7C1D1CF6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En nombre</w:t>
            </w:r>
          </w:p>
        </w:tc>
        <w:tc>
          <w:tcPr>
            <w:tcW w:w="2832" w:type="dxa"/>
            <w:shd w:val="clear" w:color="D9E2F3" w:fill="D9E2F3"/>
          </w:tcPr>
          <w:p w14:paraId="7B1508C1" w14:textId="03ED1663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Qué determina</w:t>
            </w:r>
          </w:p>
        </w:tc>
      </w:tr>
      <w:tr w:rsidR="00D56277" w:rsidRPr="00D56277" w14:paraId="08B894AE" w14:textId="77777777" w:rsidTr="00D56277">
        <w:tc>
          <w:tcPr>
            <w:tcW w:w="2831" w:type="dxa"/>
          </w:tcPr>
          <w:p w14:paraId="5217F801" w14:textId="398081BF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Nombre del campo</w:t>
            </w:r>
          </w:p>
        </w:tc>
        <w:tc>
          <w:tcPr>
            <w:tcW w:w="2831" w:type="dxa"/>
          </w:tcPr>
          <w:p w14:paraId="7C9231AD" w14:textId="11FE558E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nombre</w:t>
            </w:r>
          </w:p>
        </w:tc>
        <w:tc>
          <w:tcPr>
            <w:tcW w:w="2832" w:type="dxa"/>
          </w:tcPr>
          <w:p w14:paraId="0F88A898" w14:textId="6524E1E7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La clave en el JSON</w:t>
            </w:r>
          </w:p>
        </w:tc>
      </w:tr>
      <w:tr w:rsidR="00D56277" w:rsidRPr="00D56277" w14:paraId="11968895" w14:textId="77777777" w:rsidTr="00D56277">
        <w:tc>
          <w:tcPr>
            <w:tcW w:w="2831" w:type="dxa"/>
          </w:tcPr>
          <w:p w14:paraId="2C2C994D" w14:textId="52FB5965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Tipo</w:t>
            </w:r>
          </w:p>
        </w:tc>
        <w:tc>
          <w:tcPr>
            <w:tcW w:w="2831" w:type="dxa"/>
          </w:tcPr>
          <w:p w14:paraId="4601DA64" w14:textId="0FA168E9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str</w:t>
            </w:r>
          </w:p>
        </w:tc>
        <w:tc>
          <w:tcPr>
            <w:tcW w:w="2832" w:type="dxa"/>
          </w:tcPr>
          <w:p w14:paraId="502409BD" w14:textId="3E4277BB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Qué se acepta y a qué se convierte</w:t>
            </w:r>
          </w:p>
        </w:tc>
      </w:tr>
      <w:tr w:rsidR="00D56277" w:rsidRPr="00D56277" w14:paraId="6D5495D9" w14:textId="77777777" w:rsidTr="00D56277">
        <w:tc>
          <w:tcPr>
            <w:tcW w:w="2831" w:type="dxa"/>
          </w:tcPr>
          <w:p w14:paraId="57026557" w14:textId="16F8068B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Restricciones</w:t>
            </w:r>
          </w:p>
        </w:tc>
        <w:tc>
          <w:tcPr>
            <w:tcW w:w="2831" w:type="dxa"/>
          </w:tcPr>
          <w:p w14:paraId="11F690B4" w14:textId="441FD285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min_length=1, max_length=120</w:t>
            </w:r>
          </w:p>
        </w:tc>
        <w:tc>
          <w:tcPr>
            <w:tcW w:w="2832" w:type="dxa"/>
          </w:tcPr>
          <w:p w14:paraId="3B19F18E" w14:textId="13DC11DC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Qué valores son válidos dentro del tipo</w:t>
            </w:r>
          </w:p>
        </w:tc>
      </w:tr>
      <w:tr w:rsidR="00D56277" w:rsidRPr="00D56277" w14:paraId="0F3D7371" w14:textId="77777777" w:rsidTr="00D56277">
        <w:tc>
          <w:tcPr>
            <w:tcW w:w="2831" w:type="dxa"/>
          </w:tcPr>
          <w:p w14:paraId="610587B0" w14:textId="7CA5DAB8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Valor por defecto</w:t>
            </w:r>
          </w:p>
        </w:tc>
        <w:tc>
          <w:tcPr>
            <w:tcW w:w="2831" w:type="dxa"/>
          </w:tcPr>
          <w:p w14:paraId="2C334D78" w14:textId="01C4AEB9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(no tiene)</w:t>
            </w:r>
          </w:p>
        </w:tc>
        <w:tc>
          <w:tcPr>
            <w:tcW w:w="2832" w:type="dxa"/>
          </w:tcPr>
          <w:p w14:paraId="472FC8F7" w14:textId="716F95A4" w:rsidR="00D56277" w:rsidRPr="00D56277" w:rsidRDefault="00D56277" w:rsidP="00D56277">
            <w:pPr>
              <w:pStyle w:val="Cuerpocap"/>
              <w:spacing w:before="40" w:after="40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Si el campo es obligatorio o no</w:t>
            </w:r>
          </w:p>
        </w:tc>
      </w:tr>
    </w:tbl>
    <w:p w14:paraId="0A605217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última fila es la que más confusión genera, y la regla es simple: </w:t>
      </w:r>
      <w:r w:rsidRPr="00D56277">
        <w:rPr>
          <w:rFonts w:cs="Calibri"/>
          <w:b/>
        </w:rPr>
        <w:t>un campo sin valor por defecto es obligatorio.</w:t>
      </w:r>
      <w:r w:rsidRPr="00D56277">
        <w:rPr>
          <w:rFonts w:cs="Calibri"/>
        </w:rPr>
        <w:t xml:space="preserve"> </w:t>
      </w:r>
      <w:r w:rsidRPr="00D56277">
        <w:rPr>
          <w:rFonts w:ascii="Consolas" w:hAnsi="Consolas" w:cs="Calibri"/>
          <w:sz w:val="20"/>
        </w:rPr>
        <w:t>descripcion</w:t>
      </w:r>
      <w:r w:rsidRPr="00D56277">
        <w:rPr>
          <w:rFonts w:cs="Calibri"/>
        </w:rPr>
        <w:t xml:space="preserve"> tiene </w:t>
      </w:r>
      <w:r w:rsidRPr="00D56277">
        <w:rPr>
          <w:rFonts w:ascii="Consolas" w:hAnsi="Consolas" w:cs="Calibri"/>
          <w:sz w:val="20"/>
        </w:rPr>
        <w:t>= None</w:t>
      </w:r>
      <w:r w:rsidRPr="00D56277">
        <w:rPr>
          <w:rFonts w:cs="Calibri"/>
        </w:rPr>
        <w:t xml:space="preserve">, así que se puede omitir. </w:t>
      </w:r>
      <w:r w:rsidRPr="00D56277">
        <w:rPr>
          <w:rFonts w:ascii="Consolas" w:hAnsi="Consolas" w:cs="Calibri"/>
          <w:sz w:val="20"/>
        </w:rPr>
        <w:t>nombre</w:t>
      </w:r>
      <w:r w:rsidRPr="00D56277">
        <w:rPr>
          <w:rFonts w:cs="Calibri"/>
        </w:rPr>
        <w:t xml:space="preserve"> no tiene, así que omitirlo produce un error.</w:t>
      </w:r>
    </w:p>
    <w:p w14:paraId="4207A39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Nótese que </w:t>
      </w:r>
      <w:r w:rsidRPr="00D56277">
        <w:rPr>
          <w:rFonts w:ascii="Consolas" w:hAnsi="Consolas" w:cs="Calibri"/>
          <w:b/>
          <w:sz w:val="20"/>
        </w:rPr>
        <w:t>str | None</w:t>
      </w:r>
      <w:r w:rsidRPr="00D56277">
        <w:rPr>
          <w:rFonts w:cs="Calibri"/>
          <w:b/>
        </w:rPr>
        <w:t xml:space="preserve"> y "opcional" no son lo mismo.</w:t>
      </w:r>
      <w:r w:rsidRPr="00D56277">
        <w:rPr>
          <w:rFonts w:cs="Calibri"/>
        </w:rPr>
        <w:t xml:space="preserve"> El tipo dice qué valores admite; el valor por defecto dice si se puede omitir. Un campo puede ser </w:t>
      </w:r>
      <w:r w:rsidRPr="00D56277">
        <w:rPr>
          <w:rFonts w:ascii="Consolas" w:hAnsi="Consolas" w:cs="Calibri"/>
          <w:sz w:val="20"/>
        </w:rPr>
        <w:t>str | None</w:t>
      </w:r>
      <w:r w:rsidRPr="00D56277">
        <w:rPr>
          <w:rFonts w:cs="Calibri"/>
        </w:rPr>
        <w:t xml:space="preserve"> y obligatorio a la vez —hay que mandarlo, y puede ser nulo—, y eso, que parece una sutileza, es exactamente lo que la sección 2.6 va a necesitar.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29856F0F" w14:textId="77777777" w:rsidTr="00D56277">
        <w:tc>
          <w:tcPr>
            <w:tcW w:w="8494" w:type="dxa"/>
            <w:shd w:val="clear" w:color="FDECEA" w:fill="FDECEA"/>
          </w:tcPr>
          <w:p w14:paraId="7E449E9A" w14:textId="45678CF2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C00000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56277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</w:tc>
      </w:tr>
      <w:tr w:rsidR="00D56277" w:rsidRPr="00D56277" w14:paraId="1A772AC4" w14:textId="77777777" w:rsidTr="00D56277">
        <w:tc>
          <w:tcPr>
            <w:tcW w:w="8494" w:type="dxa"/>
            <w:shd w:val="clear" w:color="FDECEA" w:fill="FDECEA"/>
          </w:tcPr>
          <w:p w14:paraId="7F0268B0" w14:textId="30970BBD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lastRenderedPageBreak/>
              <w:t>Esta distinción confunde a todo el mundo, así que mirá las cuatro combinaciones juntas y quedate con la tabla:</w:t>
            </w:r>
          </w:p>
        </w:tc>
      </w:tr>
      <w:tr w:rsidR="00D56277" w:rsidRPr="00D56277" w14:paraId="5087DF0E" w14:textId="77777777" w:rsidTr="00D56277">
        <w:tc>
          <w:tcPr>
            <w:tcW w:w="8494" w:type="dxa"/>
            <w:shd w:val="clear" w:color="FDECEA" w:fill="FDECEA"/>
          </w:tcPr>
          <w:p w14:paraId="68B05A5F" w14:textId="2DAA13C0" w:rsidR="00D56277" w:rsidRPr="00D56277" w:rsidRDefault="00D56277" w:rsidP="00D56277">
            <w:pPr>
              <w:pStyle w:val="Bloquedecdigo"/>
              <w:spacing w:before="0" w:after="100"/>
              <w:ind w:left="0" w:right="0"/>
            </w:pPr>
            <w:r w:rsidRPr="00D56277">
              <w:t>a: str                    # obligatorio, no admite nulo</w:t>
            </w:r>
            <w:r w:rsidRPr="00D56277">
              <w:br/>
              <w:t>b: str | None             # OBLIGATORIO, admite nulo   ← el que sorprende</w:t>
            </w:r>
            <w:r w:rsidRPr="00D56277">
              <w:br/>
              <w:t>c: str = "x"              # opcional, no admite nulo</w:t>
            </w:r>
            <w:r w:rsidRPr="00D56277">
              <w:br/>
              <w:t>d: str | None = None      # opcional, admite nulo</w:t>
            </w:r>
          </w:p>
        </w:tc>
      </w:tr>
      <w:tr w:rsidR="00D56277" w:rsidRPr="00D56277" w14:paraId="11D8A269" w14:textId="77777777" w:rsidTr="00D56277">
        <w:tc>
          <w:tcPr>
            <w:tcW w:w="8494" w:type="dxa"/>
            <w:shd w:val="clear" w:color="FDECEA" w:fill="FDECEA"/>
          </w:tcPr>
          <w:p w14:paraId="0784EF2F" w14:textId="70C4682A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El caso </w:t>
            </w:r>
            <w:r w:rsidRPr="00D56277">
              <w:rPr>
                <w:rFonts w:ascii="Consolas" w:hAnsi="Consolas" w:cs="Calibri"/>
                <w:sz w:val="20"/>
              </w:rPr>
              <w:t>b</w:t>
            </w:r>
            <w:r w:rsidRPr="00D56277">
              <w:rPr>
                <w:rFonts w:cs="Calibri"/>
              </w:rPr>
              <w:t xml:space="preserve"> es el que nadie espera: </w:t>
            </w:r>
            <w:r w:rsidRPr="00D56277">
              <w:rPr>
                <w:rFonts w:cs="Calibri"/>
                <w:b/>
              </w:rPr>
              <w:t xml:space="preserve">hay que mandarlo sí o sí, pero podés mandar </w:t>
            </w:r>
            <w:r w:rsidRPr="00D56277">
              <w:rPr>
                <w:rFonts w:ascii="Consolas" w:hAnsi="Consolas" w:cs="Calibri"/>
                <w:b/>
                <w:sz w:val="20"/>
              </w:rPr>
              <w:t>null</w:t>
            </w:r>
            <w:r w:rsidRPr="00D56277">
              <w:rPr>
                <w:rFonts w:cs="Calibri"/>
                <w:b/>
              </w:rPr>
              <w:t>.</w:t>
            </w:r>
            <w:r w:rsidRPr="00D56277">
              <w:rPr>
                <w:rFonts w:cs="Calibri"/>
              </w:rPr>
              <w:t xml:space="preserve"> Si te olvidás de poner </w:t>
            </w:r>
            <w:r w:rsidRPr="00D56277">
              <w:rPr>
                <w:rFonts w:ascii="Consolas" w:hAnsi="Consolas" w:cs="Calibri"/>
                <w:sz w:val="20"/>
              </w:rPr>
              <w:t>= None</w:t>
            </w:r>
            <w:r w:rsidRPr="00D56277">
              <w:rPr>
                <w:rFonts w:cs="Calibri"/>
              </w:rPr>
              <w:t xml:space="preserve">, tu campo "opcional" no es opcional y el cliente se come un </w:t>
            </w:r>
            <w:r w:rsidRPr="00D56277">
              <w:rPr>
                <w:rFonts w:ascii="Consolas" w:hAnsi="Consolas" w:cs="Calibri"/>
                <w:sz w:val="20"/>
              </w:rPr>
              <w:t>422</w:t>
            </w:r>
            <w:r w:rsidRPr="00D56277">
              <w:rPr>
                <w:rFonts w:cs="Calibri"/>
              </w:rPr>
              <w:t xml:space="preserve"> que no entiende</w:t>
            </w:r>
            <w:r w:rsidRPr="00D56277">
              <w:rPr>
                <w:rFonts w:cs="Calibri"/>
                <w:b/>
              </w:rPr>
              <w:t>.</w:t>
            </w:r>
          </w:p>
        </w:tc>
      </w:tr>
      <w:tr w:rsidR="00D56277" w:rsidRPr="00D56277" w14:paraId="0169FEFC" w14:textId="77777777" w:rsidTr="00D56277">
        <w:tc>
          <w:tcPr>
            <w:tcW w:w="8494" w:type="dxa"/>
            <w:shd w:val="clear" w:color="FDECEA" w:fill="FDECEA"/>
          </w:tcPr>
          <w:p w14:paraId="3EDB62CC" w14:textId="39DD150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La regla, y no tiene excepciones:</w:t>
            </w:r>
          </w:p>
        </w:tc>
      </w:tr>
      <w:tr w:rsidR="00D56277" w:rsidRPr="00D56277" w14:paraId="583027D6" w14:textId="77777777" w:rsidTr="00D56277">
        <w:tc>
          <w:tcPr>
            <w:tcW w:w="8494" w:type="dxa"/>
            <w:shd w:val="clear" w:color="FDECEA" w:fill="FDECEA"/>
          </w:tcPr>
          <w:p w14:paraId="5A67B8FA" w14:textId="717CC4D2" w:rsidR="00D56277" w:rsidRPr="00D56277" w:rsidRDefault="00D56277" w:rsidP="00D56277">
            <w:pPr>
              <w:pStyle w:val="Cuerpocap"/>
              <w:spacing w:after="100"/>
              <w:ind w:left="360" w:hanging="24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·  </w:t>
            </w:r>
            <w:r w:rsidRPr="00D56277">
              <w:rPr>
                <w:rFonts w:cs="Calibri"/>
                <w:b/>
              </w:rPr>
              <w:t>El tipo</w:t>
            </w:r>
            <w:r w:rsidRPr="00D56277">
              <w:rPr>
                <w:rFonts w:cs="Calibri"/>
              </w:rPr>
              <w:t xml:space="preserve"> responde </w:t>
            </w:r>
            <w:r w:rsidRPr="00D56277">
              <w:rPr>
                <w:rFonts w:cs="Calibri"/>
                <w:i/>
              </w:rPr>
              <w:t>¿qué valores acepto?</w:t>
            </w:r>
          </w:p>
        </w:tc>
      </w:tr>
      <w:tr w:rsidR="00D56277" w:rsidRPr="00D56277" w14:paraId="09717DFC" w14:textId="77777777" w:rsidTr="00D56277">
        <w:tc>
          <w:tcPr>
            <w:tcW w:w="8494" w:type="dxa"/>
            <w:shd w:val="clear" w:color="FDECEA" w:fill="FDECEA"/>
          </w:tcPr>
          <w:p w14:paraId="4A7519F4" w14:textId="5A97A23A" w:rsidR="00D56277" w:rsidRPr="00D56277" w:rsidRDefault="00D56277" w:rsidP="00D56277">
            <w:pPr>
              <w:pStyle w:val="Cuerpocap"/>
              <w:spacing w:after="100"/>
              <w:ind w:left="360" w:hanging="24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·  </w:t>
            </w:r>
            <w:r w:rsidRPr="00D56277">
              <w:rPr>
                <w:rFonts w:cs="Calibri"/>
                <w:b/>
              </w:rPr>
              <w:t>El valor por defecto</w:t>
            </w:r>
            <w:r w:rsidRPr="00D56277">
              <w:rPr>
                <w:rFonts w:cs="Calibri"/>
              </w:rPr>
              <w:t xml:space="preserve"> responde </w:t>
            </w:r>
            <w:r w:rsidRPr="00D56277">
              <w:rPr>
                <w:rFonts w:cs="Calibri"/>
                <w:i/>
              </w:rPr>
              <w:t>¿se puede omitir?</w:t>
            </w:r>
          </w:p>
        </w:tc>
      </w:tr>
      <w:tr w:rsidR="00D56277" w:rsidRPr="00D56277" w14:paraId="71542DA2" w14:textId="77777777" w:rsidTr="00D56277">
        <w:tc>
          <w:tcPr>
            <w:tcW w:w="8494" w:type="dxa"/>
            <w:shd w:val="clear" w:color="FDECEA" w:fill="FDECEA"/>
          </w:tcPr>
          <w:p w14:paraId="61FAE5F1" w14:textId="0637615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Son dos preguntas distintas. Que la respuesta a las dos suela ser </w:t>
            </w:r>
            <w:r w:rsidRPr="00D56277">
              <w:rPr>
                <w:rFonts w:ascii="Consolas" w:hAnsi="Consolas" w:cs="Calibri"/>
                <w:sz w:val="20"/>
              </w:rPr>
              <w:t>None</w:t>
            </w:r>
            <w:r w:rsidRPr="00D56277">
              <w:rPr>
                <w:rFonts w:cs="Calibri"/>
              </w:rPr>
              <w:t xml:space="preserve"> es lo que hace que se confundan.</w:t>
            </w:r>
          </w:p>
        </w:tc>
      </w:tr>
    </w:tbl>
    <w:p w14:paraId="36F78F8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Las restricciones más usadas: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6277" w:rsidRPr="00D56277" w14:paraId="64CB08FA" w14:textId="77777777" w:rsidTr="00D56277">
        <w:tc>
          <w:tcPr>
            <w:tcW w:w="2831" w:type="dxa"/>
            <w:shd w:val="clear" w:color="D9E2F3" w:fill="D9E2F3"/>
          </w:tcPr>
          <w:p w14:paraId="230ADF08" w14:textId="2D4979E6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Restricción</w:t>
            </w:r>
          </w:p>
        </w:tc>
        <w:tc>
          <w:tcPr>
            <w:tcW w:w="2831" w:type="dxa"/>
            <w:shd w:val="clear" w:color="D9E2F3" w:fill="D9E2F3"/>
          </w:tcPr>
          <w:p w14:paraId="731AFC90" w14:textId="76D632E9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Aplica a</w:t>
            </w:r>
          </w:p>
        </w:tc>
        <w:tc>
          <w:tcPr>
            <w:tcW w:w="2832" w:type="dxa"/>
            <w:shd w:val="clear" w:color="D9E2F3" w:fill="D9E2F3"/>
          </w:tcPr>
          <w:p w14:paraId="6D58052A" w14:textId="126C03FE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Ejemplo del dominio</w:t>
            </w:r>
          </w:p>
        </w:tc>
      </w:tr>
      <w:tr w:rsidR="00D56277" w:rsidRPr="00D56277" w14:paraId="444B995F" w14:textId="77777777" w:rsidTr="00D56277">
        <w:tc>
          <w:tcPr>
            <w:tcW w:w="2831" w:type="dxa"/>
          </w:tcPr>
          <w:p w14:paraId="5C244E3D" w14:textId="54E1D7C0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gt</w:t>
            </w:r>
            <w:r w:rsidRPr="00D56277">
              <w:rPr>
                <w:rFonts w:cs="Calibri"/>
                <w:sz w:val="20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ge</w:t>
            </w:r>
            <w:r w:rsidRPr="00D56277">
              <w:rPr>
                <w:rFonts w:cs="Calibri"/>
                <w:sz w:val="20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lt</w:t>
            </w:r>
            <w:r w:rsidRPr="00D56277">
              <w:rPr>
                <w:rFonts w:cs="Calibri"/>
                <w:sz w:val="20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le</w:t>
            </w:r>
          </w:p>
        </w:tc>
        <w:tc>
          <w:tcPr>
            <w:tcW w:w="2831" w:type="dxa"/>
          </w:tcPr>
          <w:p w14:paraId="77DA57D1" w14:textId="771ECE98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Números</w:t>
            </w:r>
          </w:p>
        </w:tc>
        <w:tc>
          <w:tcPr>
            <w:tcW w:w="2832" w:type="dxa"/>
          </w:tcPr>
          <w:p w14:paraId="0E67EF14" w14:textId="73E881FF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gt=0</w:t>
            </w:r>
            <w:r w:rsidRPr="00D56277">
              <w:rPr>
                <w:rFonts w:cs="Calibri"/>
                <w:sz w:val="20"/>
              </w:rPr>
              <w:t xml:space="preserve"> para un precio</w:t>
            </w:r>
          </w:p>
        </w:tc>
      </w:tr>
      <w:tr w:rsidR="00D56277" w:rsidRPr="00D56277" w14:paraId="74285B7D" w14:textId="77777777" w:rsidTr="00D56277">
        <w:tc>
          <w:tcPr>
            <w:tcW w:w="2831" w:type="dxa"/>
          </w:tcPr>
          <w:p w14:paraId="2347B9D0" w14:textId="39CFF951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min_length</w:t>
            </w:r>
            <w:r w:rsidRPr="00D56277">
              <w:rPr>
                <w:rFonts w:cs="Calibri"/>
                <w:sz w:val="20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max_length</w:t>
            </w:r>
          </w:p>
        </w:tc>
        <w:tc>
          <w:tcPr>
            <w:tcW w:w="2831" w:type="dxa"/>
          </w:tcPr>
          <w:p w14:paraId="11B03469" w14:textId="7A9C5EA1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Textos y listas</w:t>
            </w:r>
          </w:p>
        </w:tc>
        <w:tc>
          <w:tcPr>
            <w:tcW w:w="2832" w:type="dxa"/>
          </w:tcPr>
          <w:p w14:paraId="2FD75D70" w14:textId="5BE74E42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max_length=120</w:t>
            </w:r>
            <w:r w:rsidRPr="00D56277">
              <w:rPr>
                <w:rFonts w:cs="Calibri"/>
                <w:sz w:val="20"/>
              </w:rPr>
              <w:t xml:space="preserve"> para un nombre</w:t>
            </w:r>
          </w:p>
        </w:tc>
      </w:tr>
      <w:tr w:rsidR="00D56277" w:rsidRPr="00D56277" w14:paraId="0A835FF4" w14:textId="77777777" w:rsidTr="00D56277">
        <w:tc>
          <w:tcPr>
            <w:tcW w:w="2831" w:type="dxa"/>
          </w:tcPr>
          <w:p w14:paraId="4B4AC764" w14:textId="53B218E9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pattern</w:t>
            </w:r>
          </w:p>
        </w:tc>
        <w:tc>
          <w:tcPr>
            <w:tcW w:w="2831" w:type="dxa"/>
          </w:tcPr>
          <w:p w14:paraId="0ED02045" w14:textId="727281CD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Textos</w:t>
            </w:r>
          </w:p>
        </w:tc>
        <w:tc>
          <w:tcPr>
            <w:tcW w:w="2832" w:type="dxa"/>
          </w:tcPr>
          <w:p w14:paraId="6172C1D8" w14:textId="2DEA898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Un código de unidad</w:t>
            </w:r>
          </w:p>
        </w:tc>
      </w:tr>
      <w:tr w:rsidR="00D56277" w:rsidRPr="00D56277" w14:paraId="737A1376" w14:textId="77777777" w:rsidTr="00D56277">
        <w:tc>
          <w:tcPr>
            <w:tcW w:w="2831" w:type="dxa"/>
          </w:tcPr>
          <w:p w14:paraId="6D04B701" w14:textId="19AB348C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max_digits</w:t>
            </w:r>
            <w:r w:rsidRPr="00D56277">
              <w:rPr>
                <w:rFonts w:cs="Calibri"/>
                <w:sz w:val="20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decimal_places</w:t>
            </w:r>
          </w:p>
        </w:tc>
        <w:tc>
          <w:tcPr>
            <w:tcW w:w="2831" w:type="dxa"/>
          </w:tcPr>
          <w:p w14:paraId="68ED9760" w14:textId="580BA84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Decimales</w:t>
            </w:r>
          </w:p>
        </w:tc>
        <w:tc>
          <w:tcPr>
            <w:tcW w:w="2832" w:type="dxa"/>
          </w:tcPr>
          <w:p w14:paraId="7DD51B02" w14:textId="5243F905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DECIMAL(10,2)</w:t>
            </w:r>
            <w:r w:rsidRPr="00D56277">
              <w:rPr>
                <w:rFonts w:cs="Calibri"/>
                <w:sz w:val="20"/>
              </w:rPr>
              <w:t xml:space="preserve"> para importes</w:t>
            </w:r>
          </w:p>
        </w:tc>
      </w:tr>
    </w:tbl>
    <w:p w14:paraId="623AA54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Y para valores cerrados —un conjunto fijo de opciones— corresponde una enumeración:</w:t>
      </w:r>
    </w:p>
    <w:p w14:paraId="3135BB94" w14:textId="77777777" w:rsidR="00D56277" w:rsidRDefault="00D56277" w:rsidP="00D56277">
      <w:pPr>
        <w:pStyle w:val="Bloquedecdigo"/>
      </w:pPr>
      <w:r w:rsidRPr="00D56277">
        <w:t>from enum import StrEnum</w:t>
      </w:r>
      <w:r w:rsidRPr="00D56277">
        <w:br/>
      </w:r>
      <w:r w:rsidRPr="00D56277">
        <w:br/>
        <w:t>class EstadoPedido(StrEnum):</w:t>
      </w:r>
      <w:r w:rsidRPr="00D56277">
        <w:br/>
        <w:t xml:space="preserve">    PENDIENTE = "pendiente"</w:t>
      </w:r>
      <w:r w:rsidRPr="00D56277">
        <w:br/>
        <w:t xml:space="preserve">    CONFIRMADO = "confirmado"</w:t>
      </w:r>
      <w:r w:rsidRPr="00D56277">
        <w:br/>
        <w:t xml:space="preserve">    EN_PREPARACION = "en_preparacion"</w:t>
      </w:r>
      <w:r w:rsidRPr="00D56277">
        <w:br/>
        <w:t xml:space="preserve">    ENTREGADO = "entregado"</w:t>
      </w:r>
      <w:r w:rsidRPr="00D56277">
        <w:br/>
        <w:t xml:space="preserve">    CANCELADO = "cancelado"</w:t>
      </w:r>
    </w:p>
    <w:p w14:paraId="53279F4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Eso hace tres cosas: </w:t>
      </w:r>
      <w:r w:rsidRPr="00D56277">
        <w:rPr>
          <w:rFonts w:cs="Calibri"/>
          <w:b/>
        </w:rPr>
        <w:t>rechaza</w:t>
      </w:r>
      <w:r w:rsidRPr="00D56277">
        <w:rPr>
          <w:rFonts w:cs="Calibri"/>
        </w:rPr>
        <w:t xml:space="preserve"> cualquier valor fuera de la lista, </w:t>
      </w:r>
      <w:r w:rsidRPr="00D56277">
        <w:rPr>
          <w:rFonts w:cs="Calibri"/>
          <w:b/>
        </w:rPr>
        <w:t>documenta</w:t>
      </w:r>
      <w:r w:rsidRPr="00D56277">
        <w:rPr>
          <w:rFonts w:cs="Calibri"/>
        </w:rPr>
        <w:t xml:space="preserve"> los cinco valores en la especificación, y —esto es lo que conviene señalar— </w:t>
      </w:r>
      <w:r w:rsidRPr="00D56277">
        <w:rPr>
          <w:rFonts w:cs="Calibri"/>
          <w:b/>
        </w:rPr>
        <w:t>es exactamente lo que la otra mitad de la cursada escribe como unión literal en TypeScript.</w:t>
      </w:r>
      <w:r w:rsidRPr="00D56277">
        <w:rPr>
          <w:rFonts w:cs="Calibri"/>
        </w:rPr>
        <w:t xml:space="preserve"> Los dos lados expresan la misma restricción con la herramienta de su lenguaje, y la especificación de OpenAPI es lo que los mantiene alineados.</w:t>
      </w:r>
    </w:p>
    <w:p w14:paraId="3E9ADE6A" w14:textId="77777777" w:rsidR="00D56277" w:rsidRDefault="00D56277" w:rsidP="00D56277">
      <w:pPr>
        <w:pStyle w:val="Ttulo3cap"/>
      </w:pPr>
      <w:bookmarkStart w:id="3" w:name="_Toc238750337"/>
      <w:r>
        <w:t>2.3.1. Cuando la restricción no entra en un campo</w:t>
      </w:r>
      <w:bookmarkEnd w:id="3"/>
    </w:p>
    <w:p w14:paraId="5DD0D6D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Las restricciones declarativas cubren la mayoría de los casos, pero no todos. Dos situaciones se les escapan, y para cada una hay una herramienta.</w:t>
      </w:r>
    </w:p>
    <w:p w14:paraId="69C0420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Una regla sobre un solo campo que no es una restricción estándar.</w:t>
      </w:r>
      <w:r w:rsidRPr="00D56277">
        <w:rPr>
          <w:rFonts w:cs="Calibri"/>
        </w:rPr>
        <w:t xml:space="preserve"> Por ejemplo, que un nombre no sea sólo espacios en blanco:</w:t>
      </w:r>
    </w:p>
    <w:p w14:paraId="3F17E0F4" w14:textId="77777777" w:rsidR="00D56277" w:rsidRDefault="00D56277" w:rsidP="00D56277">
      <w:pPr>
        <w:pStyle w:val="Bloquedecdigo"/>
      </w:pPr>
      <w:r w:rsidRPr="00D56277">
        <w:lastRenderedPageBreak/>
        <w:t>from pydantic import field_validator</w:t>
      </w:r>
      <w:r w:rsidRPr="00D56277">
        <w:br/>
      </w:r>
      <w:r w:rsidRPr="00D56277">
        <w:br/>
        <w:t>class ProductoCreate(BaseModel):</w:t>
      </w:r>
      <w:r w:rsidRPr="00D56277">
        <w:br/>
        <w:t xml:space="preserve">    nombre: Annotated[str, Field(min_length=1, max_length=120)]</w:t>
      </w:r>
      <w:r w:rsidRPr="00D56277">
        <w:br/>
      </w:r>
      <w:r w:rsidRPr="00D56277">
        <w:br/>
        <w:t xml:space="preserve">    @field_validator("nombre")</w:t>
      </w:r>
      <w:r w:rsidRPr="00D56277">
        <w:br/>
        <w:t xml:space="preserve">    @classmethod</w:t>
      </w:r>
      <w:r w:rsidRPr="00D56277">
        <w:br/>
        <w:t xml:space="preserve">    def nombre_no_vacio(cls, v: str) -&gt; str:</w:t>
      </w:r>
      <w:r w:rsidRPr="00D56277">
        <w:br/>
        <w:t xml:space="preserve">        limpio = v.strip()</w:t>
      </w:r>
      <w:r w:rsidRPr="00D56277">
        <w:br/>
        <w:t xml:space="preserve">        if not limpio:</w:t>
      </w:r>
      <w:r w:rsidRPr="00D56277">
        <w:br/>
        <w:t xml:space="preserve">            raise ValueError("El nombre no puede ser sólo espacios")</w:t>
      </w:r>
      <w:r w:rsidRPr="00D56277">
        <w:br/>
        <w:t xml:space="preserve">        return limpio          # devolver el valor normalizado</w:t>
      </w:r>
    </w:p>
    <w:p w14:paraId="7B40785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Nótese que el validador </w:t>
      </w:r>
      <w:r w:rsidRPr="00D56277">
        <w:rPr>
          <w:rFonts w:cs="Calibri"/>
          <w:b/>
        </w:rPr>
        <w:t>devuelve un valor</w:t>
      </w:r>
      <w:r w:rsidRPr="00D56277">
        <w:rPr>
          <w:rFonts w:cs="Calibri"/>
        </w:rPr>
        <w:t>, y ese valor es el que queda. Sirve tanto para rechazar como para normalizar: recortar espacios, pasar a minúsculas, unificar formato. Normalizar en el borde evita que cada consulta después tenga que contemplar variantes.</w:t>
      </w:r>
    </w:p>
    <w:p w14:paraId="14C030A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Una regla que involucra dos campos a la vez.</w:t>
      </w:r>
      <w:r w:rsidRPr="00D56277">
        <w:rPr>
          <w:rFonts w:cs="Calibri"/>
        </w:rPr>
        <w:t xml:space="preserve"> Ninguna restricción de campo puede expresar "la fecha de fin tiene que ser posterior a la de inicio", porque necesita ver los dos. Para eso existe la validación a nivel de modelo, que corre </w:t>
      </w:r>
      <w:r w:rsidRPr="00D56277">
        <w:rPr>
          <w:rFonts w:cs="Calibri"/>
          <w:b/>
        </w:rPr>
        <w:t>después</w:t>
      </w:r>
      <w:r w:rsidRPr="00D56277">
        <w:rPr>
          <w:rFonts w:cs="Calibri"/>
        </w:rPr>
        <w:t xml:space="preserve"> de que todos los campos se validaron por separado:</w:t>
      </w:r>
    </w:p>
    <w:p w14:paraId="4B7A6189" w14:textId="77777777" w:rsidR="00D56277" w:rsidRDefault="00D56277" w:rsidP="00D56277">
      <w:pPr>
        <w:pStyle w:val="Bloquedecdigo"/>
      </w:pPr>
      <w:r w:rsidRPr="00D56277">
        <w:t>from pydantic import model_validator</w:t>
      </w:r>
      <w:r w:rsidRPr="00D56277">
        <w:br/>
      </w:r>
      <w:r w:rsidRPr="00D56277">
        <w:br/>
        <w:t>class RangoDeFechas(BaseModel):</w:t>
      </w:r>
      <w:r w:rsidRPr="00D56277">
        <w:br/>
        <w:t xml:space="preserve">    desde: date</w:t>
      </w:r>
      <w:r w:rsidRPr="00D56277">
        <w:br/>
        <w:t xml:space="preserve">    hasta: date</w:t>
      </w:r>
      <w:r w:rsidRPr="00D56277">
        <w:br/>
      </w:r>
      <w:r w:rsidRPr="00D56277">
        <w:br/>
        <w:t xml:space="preserve">    @model_validator(mode="after")</w:t>
      </w:r>
      <w:r w:rsidRPr="00D56277">
        <w:br/>
        <w:t xml:space="preserve">    def rango_coherente(self):</w:t>
      </w:r>
      <w:r w:rsidRPr="00D56277">
        <w:br/>
        <w:t xml:space="preserve">        if self.hasta &lt; self.desde:</w:t>
      </w:r>
      <w:r w:rsidRPr="00D56277">
        <w:br/>
        <w:t xml:space="preserve">            raise ValueError("hasta no puede ser anterior a desde")</w:t>
      </w:r>
      <w:r w:rsidRPr="00D56277">
        <w:br/>
        <w:t xml:space="preserve">        return self</w:t>
      </w:r>
    </w:p>
    <w:p w14:paraId="5DD8D20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El TPI usa este par de fechas en varios endpoints de estadísticas, y su sección 6.1 agrega una precisión que conviene retener: </w:t>
      </w:r>
      <w:r w:rsidRPr="00D56277">
        <w:rPr>
          <w:rFonts w:cs="Calibri"/>
          <w:b/>
        </w:rPr>
        <w:t xml:space="preserve">los pares </w:t>
      </w:r>
      <w:r w:rsidRPr="00D56277">
        <w:rPr>
          <w:rFonts w:ascii="Consolas" w:hAnsi="Consolas" w:cs="Calibri"/>
          <w:b/>
          <w:sz w:val="20"/>
        </w:rPr>
        <w:t>desde</w:t>
      </w:r>
      <w:r w:rsidRPr="00D56277">
        <w:rPr>
          <w:rFonts w:cs="Calibri"/>
          <w:b/>
        </w:rPr>
        <w:t xml:space="preserve"> y </w:t>
      </w:r>
      <w:r w:rsidRPr="00D56277">
        <w:rPr>
          <w:rFonts w:ascii="Consolas" w:hAnsi="Consolas" w:cs="Calibri"/>
          <w:b/>
          <w:sz w:val="20"/>
        </w:rPr>
        <w:t>hasta</w:t>
      </w:r>
      <w:r w:rsidRPr="00D56277">
        <w:rPr>
          <w:rFonts w:cs="Calibri"/>
          <w:b/>
        </w:rPr>
        <w:t xml:space="preserve"> son fechas civiles interpretadas en la zona horaria de la aplicación</w:t>
      </w:r>
      <w:r w:rsidRPr="00D56277">
        <w:rPr>
          <w:rFonts w:cs="Calibri"/>
        </w:rPr>
        <w:t>, mientras que todas las marcas de tiempo se almacenan y se devuelven en UTC. Son dos cosas distintas viviendo en la misma petición.</w:t>
      </w:r>
    </w:p>
    <w:p w14:paraId="605B619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Y una advertencia de criterio: </w:t>
      </w:r>
      <w:r w:rsidRPr="00D56277">
        <w:rPr>
          <w:rFonts w:cs="Calibri"/>
          <w:b/>
        </w:rPr>
        <w:t>estas herramientas son para reglas del contrato, no para reglas de negocio.</w:t>
      </w:r>
      <w:r w:rsidRPr="00D56277">
        <w:rPr>
          <w:rFonts w:cs="Calibri"/>
        </w:rPr>
        <w:t xml:space="preserve"> Que un nombre no sea espacios es del contrato. Que un producto no se pueda vender sin stock es del dominio, y va en el Service. Meter reglas de negocio en el schema las vuelve imposibles de probar sin construir una petición HTTP.</w:t>
      </w:r>
    </w:p>
    <w:p w14:paraId="322FE3EE" w14:textId="77777777" w:rsidR="00D56277" w:rsidRDefault="00D56277" w:rsidP="00D56277">
      <w:pPr>
        <w:pStyle w:val="Ttulo2cap"/>
      </w:pPr>
      <w:bookmarkStart w:id="4" w:name="_Toc238750338"/>
      <w:r>
        <w:t>2.4. Qué ocurre durante la validación</w:t>
      </w:r>
      <w:bookmarkEnd w:id="4"/>
    </w:p>
    <w:p w14:paraId="7B444E60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Al llegar una petición, el marco de trabajo ejecuta cuatro pasos </w:t>
      </w:r>
      <w:r w:rsidRPr="00D56277">
        <w:rPr>
          <w:rFonts w:cs="Calibri"/>
          <w:b/>
        </w:rPr>
        <w:t>antes</w:t>
      </w:r>
      <w:r w:rsidRPr="00D56277">
        <w:rPr>
          <w:rFonts w:cs="Calibri"/>
        </w:rPr>
        <w:t xml:space="preserve"> de que el handler corra. Conocer el orden importa, porque explica algunos comportamientos que sorprenden.</w:t>
      </w:r>
    </w:p>
    <w:p w14:paraId="18106A8E" w14:textId="77777777" w:rsidR="00D56277" w:rsidRPr="00D56277" w:rsidRDefault="00D56277" w:rsidP="00D56277">
      <w:pPr>
        <w:pStyle w:val="Cuerpocap"/>
        <w:numPr>
          <w:ilvl w:val="0"/>
          <w:numId w:val="6"/>
        </w:numPr>
        <w:spacing w:after="80"/>
        <w:rPr>
          <w:rFonts w:cs="Calibri"/>
        </w:rPr>
      </w:pPr>
      <w:r w:rsidRPr="00D56277">
        <w:rPr>
          <w:rFonts w:cs="Calibri"/>
          <w:b/>
        </w:rPr>
        <w:t>Parseo.</w:t>
      </w:r>
      <w:r w:rsidRPr="00D56277">
        <w:rPr>
          <w:rFonts w:cs="Calibri"/>
        </w:rPr>
        <w:t xml:space="preserve"> El cuerpo se interpreta según su Content-Type. Si el JSON está mal formado, el error es de sintaxis y no llega a la validación.</w:t>
      </w:r>
    </w:p>
    <w:p w14:paraId="0A0F286D" w14:textId="77777777" w:rsidR="00D56277" w:rsidRPr="00D56277" w:rsidRDefault="00D56277" w:rsidP="00D56277">
      <w:pPr>
        <w:pStyle w:val="Cuerpocap"/>
        <w:numPr>
          <w:ilvl w:val="0"/>
          <w:numId w:val="6"/>
        </w:numPr>
        <w:spacing w:after="80"/>
        <w:rPr>
          <w:rFonts w:cs="Calibri"/>
        </w:rPr>
      </w:pPr>
      <w:r w:rsidRPr="00D56277">
        <w:rPr>
          <w:rFonts w:cs="Calibri"/>
          <w:b/>
        </w:rPr>
        <w:t>Coerción.</w:t>
      </w:r>
      <w:r w:rsidRPr="00D56277">
        <w:rPr>
          <w:rFonts w:cs="Calibri"/>
        </w:rPr>
        <w:t xml:space="preserve"> Los valores se convierten al tipo declarado cuando la conversión es inequívoca. La cadena "5" se convierte a 5 para un campo int.</w:t>
      </w:r>
    </w:p>
    <w:p w14:paraId="719BAAF0" w14:textId="77777777" w:rsidR="00D56277" w:rsidRPr="00D56277" w:rsidRDefault="00D56277" w:rsidP="00D56277">
      <w:pPr>
        <w:pStyle w:val="Cuerpocap"/>
        <w:numPr>
          <w:ilvl w:val="0"/>
          <w:numId w:val="6"/>
        </w:numPr>
        <w:spacing w:after="80"/>
        <w:rPr>
          <w:rFonts w:cs="Calibri"/>
        </w:rPr>
      </w:pPr>
      <w:r w:rsidRPr="00D56277">
        <w:rPr>
          <w:rFonts w:cs="Calibri"/>
          <w:b/>
        </w:rPr>
        <w:t>Validación.</w:t>
      </w:r>
      <w:r w:rsidRPr="00D56277">
        <w:rPr>
          <w:rFonts w:cs="Calibri"/>
        </w:rPr>
        <w:t xml:space="preserve"> Se comprueban las restricciones sobre los valores ya convertidos.</w:t>
      </w:r>
    </w:p>
    <w:p w14:paraId="2ACC85D7" w14:textId="77777777" w:rsidR="00D56277" w:rsidRPr="00D56277" w:rsidRDefault="00D56277" w:rsidP="00D56277">
      <w:pPr>
        <w:pStyle w:val="Cuerpocap"/>
        <w:numPr>
          <w:ilvl w:val="0"/>
          <w:numId w:val="6"/>
        </w:numPr>
        <w:spacing w:after="80"/>
        <w:rPr>
          <w:rFonts w:cs="Calibri"/>
        </w:rPr>
      </w:pPr>
      <w:r w:rsidRPr="00D56277">
        <w:rPr>
          <w:rFonts w:cs="Calibri"/>
          <w:b/>
        </w:rPr>
        <w:lastRenderedPageBreak/>
        <w:t>Construcción.</w:t>
      </w:r>
      <w:r w:rsidRPr="00D56277">
        <w:rPr>
          <w:rFonts w:cs="Calibri"/>
        </w:rPr>
        <w:t xml:space="preserve"> Se arma la instancia del modelo, que es lo que recibe el handler.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14:paraId="1DF0452D" w14:textId="77777777" w:rsidTr="00D56277">
        <w:tc>
          <w:tcPr>
            <w:tcW w:w="8494" w:type="dxa"/>
            <w:shd w:val="clear" w:color="FFFFFF" w:fill="FFFFFF"/>
            <w:vAlign w:val="center"/>
          </w:tcPr>
          <w:p w14:paraId="7D2F62DA" w14:textId="23BBFAA3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drawing>
                <wp:inline distT="0" distB="0" distL="0" distR="0" wp14:anchorId="7D8AFB27" wp14:editId="2D70F4E9">
                  <wp:extent cx="4860522" cy="7620000"/>
                  <wp:effectExtent l="0" t="0" r="0" b="0"/>
                  <wp:docPr id="122629362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29362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522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6DB7B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>Figura 2.2. Los cuatro pasos de la validación</w:t>
      </w:r>
    </w:p>
    <w:p w14:paraId="43D7678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El paso 2 merece atención porque es una decisión de diseño, no un descuido. Por defecto, el modo es </w:t>
      </w:r>
      <w:r w:rsidRPr="00D56277">
        <w:rPr>
          <w:rFonts w:cs="Calibri"/>
          <w:b/>
        </w:rPr>
        <w:t>permisivo</w:t>
      </w:r>
      <w:r w:rsidRPr="00D56277">
        <w:rPr>
          <w:rFonts w:cs="Calibri"/>
        </w:rPr>
        <w:t xml:space="preserve">: si un valor se puede convertir sin ambigüedad, se convierte. Eso es </w:t>
      </w:r>
      <w:r w:rsidRPr="00D56277">
        <w:rPr>
          <w:rFonts w:cs="Calibri"/>
        </w:rPr>
        <w:lastRenderedPageBreak/>
        <w:t xml:space="preserve">razonable para HTTP, donde </w:t>
      </w:r>
      <w:r w:rsidRPr="00D56277">
        <w:rPr>
          <w:rFonts w:cs="Calibri"/>
          <w:b/>
        </w:rPr>
        <w:t>todo llega como texto</w:t>
      </w:r>
      <w:r w:rsidRPr="00D56277">
        <w:rPr>
          <w:rFonts w:cs="Calibri"/>
        </w:rPr>
        <w:t>: un parámetro de consulta es siempre una cadena, y exigir que el cliente distinga tipos que la URL no puede expresar sería absurdo.</w:t>
      </w:r>
    </w:p>
    <w:p w14:paraId="4F3FEFB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Pero tiene una contracara que conviene conocer: </w:t>
      </w:r>
      <w:r w:rsidRPr="00D56277">
        <w:rPr>
          <w:rFonts w:cs="Calibri"/>
          <w:b/>
        </w:rPr>
        <w:t>la coerción puede ocultar un error del cliente.</w:t>
      </w:r>
      <w:r w:rsidRPr="00D56277">
        <w:rPr>
          <w:rFonts w:cs="Calibri"/>
        </w:rPr>
        <w:t xml:space="preserve"> Si alguien manda </w:t>
      </w:r>
      <w:r w:rsidRPr="00D56277">
        <w:rPr>
          <w:rFonts w:ascii="Consolas" w:hAnsi="Consolas" w:cs="Calibri"/>
          <w:sz w:val="20"/>
        </w:rPr>
        <w:t>"1234.50"</w:t>
      </w:r>
      <w:r w:rsidRPr="00D56277">
        <w:rPr>
          <w:rFonts w:cs="Calibri"/>
        </w:rPr>
        <w:t xml:space="preserve"> donde va un </w:t>
      </w:r>
      <w:r w:rsidRPr="00D56277">
        <w:rPr>
          <w:rFonts w:ascii="Consolas" w:hAnsi="Consolas" w:cs="Calibri"/>
          <w:sz w:val="20"/>
        </w:rPr>
        <w:t>Decimal</w:t>
      </w:r>
      <w:r w:rsidRPr="00D56277">
        <w:rPr>
          <w:rFonts w:cs="Calibri"/>
        </w:rPr>
        <w:t xml:space="preserve">, se acepta. Si manda </w:t>
      </w:r>
      <w:r w:rsidRPr="00D56277">
        <w:rPr>
          <w:rFonts w:ascii="Consolas" w:hAnsi="Consolas" w:cs="Calibri"/>
          <w:sz w:val="20"/>
        </w:rPr>
        <w:t>1234.5</w:t>
      </w:r>
      <w:r w:rsidRPr="00D56277">
        <w:rPr>
          <w:rFonts w:cs="Calibri"/>
        </w:rPr>
        <w:t xml:space="preserve"> como número de punto flotante, también —y ahí ya se perdió precisión antes de llegar—. Por eso el TPI declara que </w:t>
      </w:r>
      <w:r w:rsidRPr="00D56277">
        <w:rPr>
          <w:rFonts w:cs="Calibri"/>
          <w:b/>
        </w:rPr>
        <w:t>los importes viajan como cadena</w:t>
      </w:r>
      <w:r w:rsidRPr="00D56277">
        <w:rPr>
          <w:rFonts w:cs="Calibri"/>
        </w:rPr>
        <w:t>: no es sólo para el cliente, es para que no haya conversión intermedia por punto flotante. La sección 2.7 lo desarrolla.</w:t>
      </w:r>
    </w:p>
    <w:p w14:paraId="20A0A7E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Cuando la validación falla, la respuesta es un </w:t>
      </w:r>
      <w:r w:rsidRPr="00D56277">
        <w:rPr>
          <w:rFonts w:ascii="Consolas" w:hAnsi="Consolas" w:cs="Calibri"/>
          <w:b/>
          <w:sz w:val="20"/>
        </w:rPr>
        <w:t>422</w:t>
      </w:r>
      <w:r w:rsidRPr="00D56277">
        <w:rPr>
          <w:rFonts w:cs="Calibri"/>
        </w:rPr>
        <w:t xml:space="preserve"> con el detalle:</w:t>
      </w:r>
    </w:p>
    <w:p w14:paraId="14C24D44" w14:textId="77777777" w:rsidR="00D56277" w:rsidRDefault="00D56277" w:rsidP="00D56277">
      <w:pPr>
        <w:pStyle w:val="Bloquedecdigo"/>
      </w:pPr>
      <w:r w:rsidRPr="00D56277">
        <w:t>{</w:t>
      </w:r>
      <w:r w:rsidRPr="00D56277">
        <w:br/>
        <w:t xml:space="preserve">  "detail": [</w:t>
      </w:r>
      <w:r w:rsidRPr="00D56277">
        <w:br/>
        <w:t xml:space="preserve">    {</w:t>
      </w:r>
      <w:r w:rsidRPr="00D56277">
        <w:br/>
        <w:t xml:space="preserve">      "type": "greater_than",</w:t>
      </w:r>
      <w:r w:rsidRPr="00D56277">
        <w:br/>
        <w:t xml:space="preserve">      "loc": ["body", "precio"],</w:t>
      </w:r>
      <w:r w:rsidRPr="00D56277">
        <w:br/>
        <w:t xml:space="preserve">      "msg": "Input should be greater than 0",</w:t>
      </w:r>
      <w:r w:rsidRPr="00D56277">
        <w:br/>
        <w:t xml:space="preserve">      "input": "-100.00"</w:t>
      </w:r>
      <w:r w:rsidRPr="00D56277">
        <w:br/>
        <w:t xml:space="preserve">    }</w:t>
      </w:r>
      <w:r w:rsidRPr="00D56277">
        <w:br/>
        <w:t xml:space="preserve">  ]</w:t>
      </w:r>
      <w:r w:rsidRPr="00D56277">
        <w:br/>
        <w:t>}</w:t>
      </w:r>
    </w:p>
    <w:p w14:paraId="00602356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Cuatro campos, y los cuatro sirven: </w:t>
      </w:r>
      <w:r w:rsidRPr="00D56277">
        <w:rPr>
          <w:rFonts w:ascii="Consolas" w:hAnsi="Consolas" w:cs="Calibri"/>
          <w:b/>
          <w:sz w:val="20"/>
        </w:rPr>
        <w:t>loc</w:t>
      </w:r>
      <w:r w:rsidRPr="00D56277">
        <w:rPr>
          <w:rFonts w:cs="Calibri"/>
        </w:rPr>
        <w:t xml:space="preserve"> dice dónde —cuerpo, ruta, consulta— y qué campo; </w:t>
      </w:r>
      <w:r w:rsidRPr="00D56277">
        <w:rPr>
          <w:rFonts w:ascii="Consolas" w:hAnsi="Consolas" w:cs="Calibri"/>
          <w:b/>
          <w:sz w:val="20"/>
        </w:rPr>
        <w:t>type</w:t>
      </w:r>
      <w:r w:rsidRPr="00D56277">
        <w:rPr>
          <w:rFonts w:cs="Calibri"/>
        </w:rPr>
        <w:t xml:space="preserve"> es un código estable, apto para comparar por programa; </w:t>
      </w:r>
      <w:r w:rsidRPr="00D56277">
        <w:rPr>
          <w:rFonts w:ascii="Consolas" w:hAnsi="Consolas" w:cs="Calibri"/>
          <w:b/>
          <w:sz w:val="20"/>
        </w:rPr>
        <w:t>msg</w:t>
      </w:r>
      <w:r w:rsidRPr="00D56277">
        <w:rPr>
          <w:rFonts w:cs="Calibri"/>
        </w:rPr>
        <w:t xml:space="preserve"> es para una persona; </w:t>
      </w:r>
      <w:r w:rsidRPr="00D56277">
        <w:rPr>
          <w:rFonts w:ascii="Consolas" w:hAnsi="Consolas" w:cs="Calibri"/>
          <w:b/>
          <w:sz w:val="20"/>
        </w:rPr>
        <w:t>input</w:t>
      </w:r>
      <w:r w:rsidRPr="00D56277">
        <w:rPr>
          <w:rFonts w:cs="Calibri"/>
        </w:rPr>
        <w:t xml:space="preserve"> es lo que efectivamente llegó.</w:t>
      </w:r>
    </w:p>
    <w:p w14:paraId="6BC532B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Y hay algo que ese cuerpo enseña sin proponérselo: </w:t>
      </w:r>
      <w:r w:rsidRPr="00D56277">
        <w:rPr>
          <w:rFonts w:cs="Calibri"/>
          <w:b/>
        </w:rPr>
        <w:t>es una lista.</w:t>
      </w:r>
      <w:r w:rsidRPr="00D56277">
        <w:rPr>
          <w:rFonts w:cs="Calibri"/>
        </w:rPr>
        <w:t xml:space="preserve"> La validación no se detiene en el primer error, sino que reporta todos los que encuentra. Un formulario con cuatro campos mal cargados recibe los cuatro de una vez, y no obliga al usuario a corregir de a uno.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0A537FC9" w14:textId="77777777" w:rsidTr="00D56277">
        <w:tc>
          <w:tcPr>
            <w:tcW w:w="8494" w:type="dxa"/>
            <w:shd w:val="clear" w:color="FDECEA" w:fill="FDECEA"/>
          </w:tcPr>
          <w:p w14:paraId="6AEFBDDC" w14:textId="222200F5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C00000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56277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</w:tc>
      </w:tr>
      <w:tr w:rsidR="00D56277" w:rsidRPr="00D56277" w14:paraId="55F25D65" w14:textId="77777777" w:rsidTr="00D56277">
        <w:tc>
          <w:tcPr>
            <w:tcW w:w="8494" w:type="dxa"/>
            <w:shd w:val="clear" w:color="FDECEA" w:fill="FDECEA"/>
          </w:tcPr>
          <w:p w14:paraId="4059F3FF" w14:textId="0D8B7460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Sobre la coerción hay una cosa que te va a morder, así que anticipala:</w:t>
            </w:r>
          </w:p>
        </w:tc>
      </w:tr>
      <w:tr w:rsidR="00D56277" w:rsidRPr="00D56277" w14:paraId="6970FB06" w14:textId="77777777" w:rsidTr="00D56277">
        <w:tc>
          <w:tcPr>
            <w:tcW w:w="8494" w:type="dxa"/>
            <w:shd w:val="clear" w:color="FDECEA" w:fill="FDECEA"/>
          </w:tcPr>
          <w:p w14:paraId="4DF5CAC6" w14:textId="39FC314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Que un valor se acepte no significa que el cliente lo haya mandado bien.</w:t>
            </w:r>
          </w:p>
        </w:tc>
      </w:tr>
      <w:tr w:rsidR="00D56277" w:rsidRPr="00D56277" w14:paraId="74424572" w14:textId="77777777" w:rsidTr="00D56277">
        <w:tc>
          <w:tcPr>
            <w:tcW w:w="8494" w:type="dxa"/>
            <w:shd w:val="clear" w:color="FDECEA" w:fill="FDECEA"/>
          </w:tcPr>
          <w:p w14:paraId="2E5B0101" w14:textId="1AFB9005" w:rsidR="00D56277" w:rsidRPr="00D56277" w:rsidRDefault="00D56277" w:rsidP="00D56277">
            <w:pPr>
              <w:pStyle w:val="Bloquedecdigo"/>
              <w:spacing w:before="0" w:after="100"/>
              <w:ind w:left="0" w:right="0"/>
            </w:pPr>
            <w:r w:rsidRPr="00D56277">
              <w:t>class Filtro(BaseModel):</w:t>
            </w:r>
            <w:r w:rsidRPr="00D56277">
              <w:br/>
              <w:t xml:space="preserve">    activo: bool</w:t>
            </w:r>
            <w:r w:rsidRPr="00D56277">
              <w:br/>
            </w:r>
            <w:r w:rsidRPr="00D56277">
              <w:br/>
              <w:t># Todo esto se acepta y vale True:</w:t>
            </w:r>
            <w:r w:rsidRPr="00D56277">
              <w:br/>
              <w:t>{"activo": true}     {"activo": "true"}     {"activo": 1}     {"activo": "yes"}</w:t>
            </w:r>
          </w:p>
        </w:tc>
      </w:tr>
      <w:tr w:rsidR="00D56277" w:rsidRPr="00D56277" w14:paraId="1D59FF70" w14:textId="77777777" w:rsidTr="00D56277">
        <w:tc>
          <w:tcPr>
            <w:tcW w:w="8494" w:type="dxa"/>
            <w:shd w:val="clear" w:color="FDECEA" w:fill="FDECEA"/>
          </w:tcPr>
          <w:p w14:paraId="2D6F2E8F" w14:textId="3FD0C2C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Eso está bien para HTTP —de una URL todo llega como texto— y está mal cuando disimula un bug del cliente. Si el frontend te manda </w:t>
            </w:r>
            <w:r w:rsidRPr="00D56277">
              <w:rPr>
                <w:rFonts w:ascii="Consolas" w:hAnsi="Consolas" w:cs="Calibri"/>
                <w:sz w:val="20"/>
              </w:rPr>
              <w:t>"yes"</w:t>
            </w:r>
            <w:r w:rsidRPr="00D56277">
              <w:rPr>
                <w:rFonts w:cs="Calibri"/>
              </w:rPr>
              <w:t xml:space="preserve"> porque alguien concatenó mal, vos nunca te enterás: lo aceptaste.</w:t>
            </w:r>
          </w:p>
        </w:tc>
      </w:tr>
      <w:tr w:rsidR="00D56277" w:rsidRPr="00D56277" w14:paraId="179E0C13" w14:textId="77777777" w:rsidTr="00D56277">
        <w:tc>
          <w:tcPr>
            <w:tcW w:w="8494" w:type="dxa"/>
            <w:shd w:val="clear" w:color="FDECEA" w:fill="FDECEA"/>
          </w:tcPr>
          <w:p w14:paraId="20A93D36" w14:textId="38F45C87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Y ojo con el caso feo: </w:t>
            </w:r>
            <w:r w:rsidRPr="00D56277">
              <w:rPr>
                <w:rFonts w:cs="Calibri"/>
                <w:b/>
              </w:rPr>
              <w:t>si el cliente te manda un importe como número JSON en vez de cadena, se acepta igual</w:t>
            </w:r>
            <w:r w:rsidRPr="00D56277">
              <w:rPr>
                <w:rFonts w:cs="Calibri"/>
              </w:rPr>
              <w:t xml:space="preserve"> — y para cuando llegó a tu modelo, JavaScript ya lo convirtió a punto flotante y le comió precisión. Por eso el TPI declara </w:t>
            </w:r>
            <w:r w:rsidRPr="00D56277">
              <w:rPr>
                <w:rFonts w:ascii="Consolas" w:hAnsi="Consolas" w:cs="Calibri"/>
                <w:sz w:val="20"/>
              </w:rPr>
              <w:t>string</w:t>
            </w:r>
            <w:r w:rsidRPr="00D56277">
              <w:rPr>
                <w:rFonts w:cs="Calibri"/>
              </w:rPr>
              <w:t xml:space="preserve"> de los dos lados: no es una preferencia, es cerrar esa puerta.</w:t>
            </w:r>
          </w:p>
        </w:tc>
      </w:tr>
      <w:tr w:rsidR="00D56277" w:rsidRPr="00D56277" w14:paraId="6BFB48BA" w14:textId="77777777" w:rsidTr="00D56277">
        <w:tc>
          <w:tcPr>
            <w:tcW w:w="8494" w:type="dxa"/>
            <w:shd w:val="clear" w:color="FDECEA" w:fill="FDECEA"/>
          </w:tcPr>
          <w:p w14:paraId="2541E502" w14:textId="118E72A6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Cuando quieras que no haya coerción, existe el modo estricto. Usalo donde importe.</w:t>
            </w:r>
          </w:p>
        </w:tc>
      </w:tr>
    </w:tbl>
    <w:p w14:paraId="792A0813" w14:textId="77777777" w:rsidR="00D56277" w:rsidRDefault="00D56277" w:rsidP="00D56277">
      <w:pPr>
        <w:pStyle w:val="Ttulo2cap"/>
      </w:pPr>
      <w:bookmarkStart w:id="5" w:name="_Toc238750339"/>
      <w:r>
        <w:lastRenderedPageBreak/>
        <w:t>2.5. Modelos segregados: por qué tres y no uno</w:t>
      </w:r>
      <w:bookmarkEnd w:id="5"/>
    </w:p>
    <w:p w14:paraId="61D791F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La tentación natural es escribir un solo modelo por entidad y usarlo para todo. Conviene ver por qué no funciona antes de aceptar la alternativa.</w:t>
      </w:r>
    </w:p>
    <w:p w14:paraId="0C249BE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Un </w:t>
      </w:r>
      <w:r w:rsidRPr="00D56277">
        <w:rPr>
          <w:rFonts w:ascii="Consolas" w:hAnsi="Consolas" w:cs="Calibri"/>
          <w:sz w:val="20"/>
        </w:rPr>
        <w:t>Producto</w:t>
      </w:r>
      <w:r w:rsidRPr="00D56277">
        <w:rPr>
          <w:rFonts w:cs="Calibri"/>
        </w:rPr>
        <w:t xml:space="preserve"> tiene identificador, nombre, precio, fecha de creación, y quizá un campo interno de costo que no debe salir nunca. Con un solo modelo aparecen tres problemas a la vez:</w:t>
      </w:r>
    </w:p>
    <w:p w14:paraId="3EEFB53C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Al crear</w:t>
      </w:r>
      <w:r w:rsidRPr="00D56277">
        <w:rPr>
          <w:rFonts w:cs="Calibri"/>
        </w:rPr>
        <w:t xml:space="preserve"> no se manda el identificador —lo asigna el servidor— ni la fecha de creación. Si el modelo los declara obligatorios, crear es imposible; si los declara opcionales, la especificación dice que el cliente </w:t>
      </w:r>
      <w:r w:rsidRPr="00D56277">
        <w:rPr>
          <w:rFonts w:cs="Calibri"/>
          <w:b/>
        </w:rPr>
        <w:t>podría</w:t>
      </w:r>
      <w:r w:rsidRPr="00D56277">
        <w:rPr>
          <w:rFonts w:cs="Calibri"/>
        </w:rPr>
        <w:t xml:space="preserve"> mandarlos, que es mentira.</w:t>
      </w:r>
    </w:p>
    <w:p w14:paraId="36969EE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Al actualizar</w:t>
      </w:r>
      <w:r w:rsidRPr="00D56277">
        <w:rPr>
          <w:rFonts w:cs="Calibri"/>
        </w:rPr>
        <w:t xml:space="preserve"> no se mandan todos los campos, sino los que cambian. Un modelo con campos obligatorios no sirve para eso.</w:t>
      </w:r>
    </w:p>
    <w:p w14:paraId="4CCB95E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Al responder</w:t>
      </w:r>
      <w:r w:rsidRPr="00D56277">
        <w:rPr>
          <w:rFonts w:cs="Calibri"/>
        </w:rPr>
        <w:t xml:space="preserve"> hay campos que no deben salir. Un modelo compartido los expone, y esa clase de filtración no produce ningún error: simplemente el dato viaja.</w:t>
      </w:r>
    </w:p>
    <w:p w14:paraId="7296D51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De ahí la práctica que el temario oficial nombra como </w:t>
      </w:r>
      <w:r w:rsidRPr="00D56277">
        <w:rPr>
          <w:rFonts w:cs="Calibri"/>
          <w:b/>
        </w:rPr>
        <w:t>modelos segregados</w:t>
      </w:r>
      <w:r w:rsidRPr="00D56277">
        <w:rPr>
          <w:rFonts w:cs="Calibri"/>
        </w:rPr>
        <w:t xml:space="preserve"> y que el TPI aplica en su sección 7: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6277" w:rsidRPr="00D56277" w14:paraId="75C13D14" w14:textId="77777777" w:rsidTr="00D56277">
        <w:tc>
          <w:tcPr>
            <w:tcW w:w="2831" w:type="dxa"/>
            <w:shd w:val="clear" w:color="D9E2F3" w:fill="D9E2F3"/>
          </w:tcPr>
          <w:p w14:paraId="393BB713" w14:textId="151E131D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Modelo</w:t>
            </w:r>
          </w:p>
        </w:tc>
        <w:tc>
          <w:tcPr>
            <w:tcW w:w="2831" w:type="dxa"/>
            <w:shd w:val="clear" w:color="D9E2F3" w:fill="D9E2F3"/>
          </w:tcPr>
          <w:p w14:paraId="42EB2580" w14:textId="3DCFFFF9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Para qué</w:t>
            </w:r>
          </w:p>
        </w:tc>
        <w:tc>
          <w:tcPr>
            <w:tcW w:w="2832" w:type="dxa"/>
            <w:shd w:val="clear" w:color="D9E2F3" w:fill="D9E2F3"/>
          </w:tcPr>
          <w:p w14:paraId="520A71EC" w14:textId="6F9BD563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Qué tiene</w:t>
            </w:r>
          </w:p>
        </w:tc>
      </w:tr>
      <w:tr w:rsidR="00D56277" w:rsidRPr="00D56277" w14:paraId="6F4D22BD" w14:textId="77777777" w:rsidTr="00D56277">
        <w:tc>
          <w:tcPr>
            <w:tcW w:w="2831" w:type="dxa"/>
          </w:tcPr>
          <w:p w14:paraId="11511A03" w14:textId="48562050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b/>
                <w:sz w:val="20"/>
              </w:rPr>
              <w:t>Create</w:t>
            </w:r>
          </w:p>
        </w:tc>
        <w:tc>
          <w:tcPr>
            <w:tcW w:w="2831" w:type="dxa"/>
          </w:tcPr>
          <w:p w14:paraId="6F5F8E5F" w14:textId="2B2285E4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Entrada al crear</w:t>
            </w:r>
          </w:p>
        </w:tc>
        <w:tc>
          <w:tcPr>
            <w:tcW w:w="2832" w:type="dxa"/>
          </w:tcPr>
          <w:p w14:paraId="3FE5D5F0" w14:textId="667733B9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Sólo lo que el cliente aporta. Campos obligatorios</w:t>
            </w:r>
          </w:p>
        </w:tc>
      </w:tr>
      <w:tr w:rsidR="00D56277" w:rsidRPr="00D56277" w14:paraId="0E3F0BCB" w14:textId="77777777" w:rsidTr="00D56277">
        <w:tc>
          <w:tcPr>
            <w:tcW w:w="2831" w:type="dxa"/>
          </w:tcPr>
          <w:p w14:paraId="7D3AA298" w14:textId="06082D62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b/>
                <w:sz w:val="20"/>
              </w:rPr>
              <w:t>Update</w:t>
            </w:r>
          </w:p>
        </w:tc>
        <w:tc>
          <w:tcPr>
            <w:tcW w:w="2831" w:type="dxa"/>
          </w:tcPr>
          <w:p w14:paraId="4D7C9DD3" w14:textId="02C1AEAB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Entrada al modificar</w:t>
            </w:r>
          </w:p>
        </w:tc>
        <w:tc>
          <w:tcPr>
            <w:tcW w:w="2832" w:type="dxa"/>
          </w:tcPr>
          <w:p w14:paraId="40BF8430" w14:textId="5B56941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Lo mismo, </w:t>
            </w:r>
            <w:r w:rsidRPr="00D56277">
              <w:rPr>
                <w:rFonts w:cs="Calibri"/>
                <w:b/>
                <w:sz w:val="20"/>
              </w:rPr>
              <w:t>todo opcional</w:t>
            </w:r>
          </w:p>
        </w:tc>
      </w:tr>
      <w:tr w:rsidR="00D56277" w:rsidRPr="00D56277" w14:paraId="21C4C749" w14:textId="77777777" w:rsidTr="00D56277">
        <w:tc>
          <w:tcPr>
            <w:tcW w:w="2831" w:type="dxa"/>
          </w:tcPr>
          <w:p w14:paraId="23B422DF" w14:textId="237BF22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b/>
                <w:sz w:val="20"/>
              </w:rPr>
              <w:t>Public</w:t>
            </w:r>
          </w:p>
        </w:tc>
        <w:tc>
          <w:tcPr>
            <w:tcW w:w="2831" w:type="dxa"/>
          </w:tcPr>
          <w:p w14:paraId="50AA7A5C" w14:textId="65058AB2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Salida</w:t>
            </w:r>
          </w:p>
        </w:tc>
        <w:tc>
          <w:tcPr>
            <w:tcW w:w="2832" w:type="dxa"/>
          </w:tcPr>
          <w:p w14:paraId="372501DA" w14:textId="20A6C84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Lo que se puede mostrar. Incluye lo que genera el servidor</w:t>
            </w:r>
          </w:p>
        </w:tc>
      </w:tr>
    </w:tbl>
    <w:p w14:paraId="3188A61A" w14:textId="77777777" w:rsidR="00D56277" w:rsidRDefault="00D56277" w:rsidP="00D56277">
      <w:pPr>
        <w:pStyle w:val="Bloquedecdigo"/>
      </w:pPr>
      <w:r w:rsidRPr="00D56277">
        <w:t>class ProductoBase(BaseModel):</w:t>
      </w:r>
      <w:r w:rsidRPr="00D56277">
        <w:br/>
        <w:t xml:space="preserve">    nombre: Annotated[str, Field(min_length=1, max_length=120)]</w:t>
      </w:r>
      <w:r w:rsidRPr="00D56277">
        <w:br/>
        <w:t xml:space="preserve">    precio: Annotated[Decimal, Field(gt=0, max_digits=10, decimal_places=2)]</w:t>
      </w:r>
      <w:r w:rsidRPr="00D56277">
        <w:br/>
      </w:r>
      <w:r w:rsidRPr="00D56277">
        <w:br/>
        <w:t>class ProductoCreate(ProductoBase):</w:t>
      </w:r>
      <w:r w:rsidRPr="00D56277">
        <w:br/>
        <w:t xml:space="preserve">    categoria_id: Annotated[int, Field(gt=0)]</w:t>
      </w:r>
      <w:r w:rsidRPr="00D56277">
        <w:br/>
      </w:r>
      <w:r w:rsidRPr="00D56277">
        <w:br/>
        <w:t>class ProductoUpdate(BaseModel):</w:t>
      </w:r>
      <w:r w:rsidRPr="00D56277">
        <w:br/>
        <w:t xml:space="preserve">    nombre: Annotated[str | None, Field(min_length=1, max_length=120)] = None</w:t>
      </w:r>
      <w:r w:rsidRPr="00D56277">
        <w:br/>
        <w:t xml:space="preserve">    precio: Annotated[Decimal | None, Field(gt=0)] = None</w:t>
      </w:r>
      <w:r w:rsidRPr="00D56277">
        <w:br/>
      </w:r>
      <w:r w:rsidRPr="00D56277">
        <w:br/>
        <w:t>class ProductoPublic(ProductoBase):</w:t>
      </w:r>
      <w:r w:rsidRPr="00D56277">
        <w:br/>
        <w:t xml:space="preserve">    id: int</w:t>
      </w:r>
      <w:r w:rsidRPr="00D56277">
        <w:br/>
        <w:t xml:space="preserve">    creado_en: datetime</w:t>
      </w:r>
      <w:r w:rsidRPr="00D56277">
        <w:br/>
        <w:t xml:space="preserve">    # el costo interno no está: no sale nunca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:rsidRPr="00D56277" w14:paraId="48DC64E6" w14:textId="77777777" w:rsidTr="00D56277">
        <w:tc>
          <w:tcPr>
            <w:tcW w:w="8494" w:type="dxa"/>
            <w:shd w:val="clear" w:color="FFFFFF" w:fill="FFFFFF"/>
            <w:vAlign w:val="center"/>
          </w:tcPr>
          <w:p w14:paraId="0AD5D86C" w14:textId="3426C0CA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lastRenderedPageBreak/>
              <w:drawing>
                <wp:inline distT="0" distB="0" distL="0" distR="0" wp14:anchorId="4DBEC79E" wp14:editId="26448361">
                  <wp:extent cx="4893412" cy="2336800"/>
                  <wp:effectExtent l="0" t="0" r="2540" b="6350"/>
                  <wp:docPr id="2178571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57186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412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BB3B3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>Figura 2.3. Los tres modelos segregados</w:t>
      </w:r>
    </w:p>
    <w:p w14:paraId="3460087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Y del lado del endpoint, </w:t>
      </w:r>
      <w:r w:rsidRPr="00D56277">
        <w:rPr>
          <w:rFonts w:ascii="Consolas" w:hAnsi="Consolas" w:cs="Calibri"/>
          <w:sz w:val="20"/>
        </w:rPr>
        <w:t>response_model</w:t>
      </w:r>
      <w:r w:rsidRPr="00D56277">
        <w:rPr>
          <w:rFonts w:cs="Calibri"/>
        </w:rPr>
        <w:t xml:space="preserve"> cierra el círculo:</w:t>
      </w:r>
    </w:p>
    <w:p w14:paraId="659D8191" w14:textId="77777777" w:rsidR="00D56277" w:rsidRDefault="00D56277" w:rsidP="00D56277">
      <w:pPr>
        <w:pStyle w:val="Bloquedecdigo"/>
      </w:pPr>
      <w:r w:rsidRPr="00D56277">
        <w:t>@app.get("/productos/{producto_id}", response_model=ProductoPublic)</w:t>
      </w:r>
      <w:r w:rsidRPr="00D56277">
        <w:br/>
        <w:t>async def obtener_producto(producto_id: int):</w:t>
      </w:r>
      <w:r w:rsidRPr="00D56277">
        <w:br/>
        <w:t xml:space="preserve">    ...</w:t>
      </w:r>
    </w:p>
    <w:p w14:paraId="07B9C096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Eso no es documentación: </w:t>
      </w:r>
      <w:r w:rsidRPr="00D56277">
        <w:rPr>
          <w:rFonts w:cs="Calibri"/>
          <w:b/>
        </w:rPr>
        <w:t>el marco de trabajo filtra la respuesta contra ese modelo.</w:t>
      </w:r>
      <w:r w:rsidRPr="00D56277">
        <w:rPr>
          <w:rFonts w:cs="Calibri"/>
        </w:rPr>
        <w:t xml:space="preserve"> Si el objeto devuelto trae campos de más, </w:t>
      </w:r>
      <w:r w:rsidRPr="00D56277">
        <w:rPr>
          <w:rFonts w:cs="Calibri"/>
          <w:b/>
        </w:rPr>
        <w:t>no salen</w:t>
      </w:r>
      <w:r w:rsidRPr="00D56277">
        <w:rPr>
          <w:rFonts w:cs="Calibri"/>
        </w:rPr>
        <w:t>. Es una red de seguridad real, y por eso el TPI la declara en su sección 7.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3639CA9F" w14:textId="77777777" w:rsidTr="00D56277">
        <w:tc>
          <w:tcPr>
            <w:tcW w:w="8494" w:type="dxa"/>
            <w:shd w:val="clear" w:color="DEEBF7" w:fill="DEEBF7"/>
          </w:tcPr>
          <w:p w14:paraId="23A96FFC" w14:textId="2975AC2F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2E74B5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D56277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</w:tc>
      </w:tr>
      <w:tr w:rsidR="00D56277" w:rsidRPr="00D56277" w14:paraId="5E07E8B5" w14:textId="77777777" w:rsidTr="00D56277">
        <w:tc>
          <w:tcPr>
            <w:tcW w:w="8494" w:type="dxa"/>
            <w:shd w:val="clear" w:color="DEEBF7" w:fill="DEEBF7"/>
          </w:tcPr>
          <w:p w14:paraId="621F18D1" w14:textId="225B509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ascii="Consolas" w:hAnsi="Consolas" w:cs="Calibri"/>
                <w:sz w:val="20"/>
              </w:rPr>
              <w:t>response_model</w:t>
            </w:r>
            <w:r w:rsidRPr="00D56277">
              <w:rPr>
                <w:rFonts w:cs="Calibri"/>
              </w:rPr>
              <w:t xml:space="preserve"> es de las cosas más subestimadas del marco de trabajo, y te explico por qué te conviene usarlo siempre.</w:t>
            </w:r>
          </w:p>
        </w:tc>
      </w:tr>
      <w:tr w:rsidR="00D56277" w:rsidRPr="00D56277" w14:paraId="2E91628D" w14:textId="77777777" w:rsidTr="00D56277">
        <w:tc>
          <w:tcPr>
            <w:tcW w:w="8494" w:type="dxa"/>
            <w:shd w:val="clear" w:color="DEEBF7" w:fill="DEEBF7"/>
          </w:tcPr>
          <w:p w14:paraId="70775F56" w14:textId="242F1EE0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Filtra la salida aunque tu código se equivoque.</w:t>
            </w:r>
          </w:p>
        </w:tc>
      </w:tr>
      <w:tr w:rsidR="00D56277" w:rsidRPr="00D56277" w14:paraId="016383F1" w14:textId="77777777" w:rsidTr="00D56277">
        <w:tc>
          <w:tcPr>
            <w:tcW w:w="8494" w:type="dxa"/>
            <w:shd w:val="clear" w:color="DEEBF7" w:fill="DEEBF7"/>
          </w:tcPr>
          <w:p w14:paraId="1A7E7BE3" w14:textId="6F8EA3F7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Pensá el caso concreto: hoy el modelo de la tabla no tiene ningún campo sensible. Dentro de tres meses alguien agrega </w:t>
            </w:r>
            <w:r w:rsidRPr="00D56277">
              <w:rPr>
                <w:rFonts w:ascii="Consolas" w:hAnsi="Consolas" w:cs="Calibri"/>
                <w:sz w:val="20"/>
              </w:rPr>
              <w:t>costo_interno</w:t>
            </w:r>
            <w:r w:rsidRPr="00D56277">
              <w:rPr>
                <w:rFonts w:cs="Calibri"/>
              </w:rPr>
              <w:t xml:space="preserve"> para calcular márgenes. Si el endpoint devuelve el objeto tal cual, </w:t>
            </w:r>
            <w:r w:rsidRPr="00D56277">
              <w:rPr>
                <w:rFonts w:cs="Calibri"/>
                <w:b/>
              </w:rPr>
              <w:t>ese campo empieza a viajar al cliente ese mismo día</w:t>
            </w:r>
            <w:r w:rsidRPr="00D56277">
              <w:rPr>
                <w:rFonts w:cs="Calibri"/>
              </w:rPr>
              <w:t>, sin que nadie lo note.</w:t>
            </w:r>
          </w:p>
        </w:tc>
      </w:tr>
      <w:tr w:rsidR="00D56277" w:rsidRPr="00D56277" w14:paraId="072160CA" w14:textId="77777777" w:rsidTr="00D56277">
        <w:tc>
          <w:tcPr>
            <w:tcW w:w="8494" w:type="dxa"/>
            <w:shd w:val="clear" w:color="DEEBF7" w:fill="DEEBF7"/>
          </w:tcPr>
          <w:p w14:paraId="61C96B2C" w14:textId="4E352D4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Con </w:t>
            </w:r>
            <w:r w:rsidRPr="00D56277">
              <w:rPr>
                <w:rFonts w:ascii="Consolas" w:hAnsi="Consolas" w:cs="Calibri"/>
                <w:sz w:val="20"/>
              </w:rPr>
              <w:t>response_model</w:t>
            </w:r>
            <w:r w:rsidRPr="00D56277">
              <w:rPr>
                <w:rFonts w:cs="Calibri"/>
              </w:rPr>
              <w:t>, no sale. Nadie tuvo que acordarse de nada.</w:t>
            </w:r>
          </w:p>
        </w:tc>
      </w:tr>
      <w:tr w:rsidR="00D56277" w:rsidRPr="00D56277" w14:paraId="3663B078" w14:textId="77777777" w:rsidTr="00D56277">
        <w:tc>
          <w:tcPr>
            <w:tcW w:w="8494" w:type="dxa"/>
            <w:shd w:val="clear" w:color="DEEBF7" w:fill="DEEBF7"/>
          </w:tcPr>
          <w:p w14:paraId="268AD03E" w14:textId="69178C1B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Es la misma idea que tus compañeros del turno de frontend ven en su última clase: </w:t>
            </w:r>
            <w:r w:rsidRPr="00D56277">
              <w:rPr>
                <w:rFonts w:cs="Calibri"/>
                <w:b/>
              </w:rPr>
              <w:t>las reglas que dependen de que alguien se acuerde fallan; las que hacen que equivocarse sea difícil, no.</w:t>
            </w:r>
          </w:p>
        </w:tc>
      </w:tr>
    </w:tbl>
    <w:p w14:paraId="1E1020F5" w14:textId="77777777" w:rsidR="00D56277" w:rsidRDefault="00D56277" w:rsidP="00D56277">
      <w:pPr>
        <w:pStyle w:val="Ttulo2cap"/>
      </w:pPr>
      <w:bookmarkStart w:id="6" w:name="_Toc238750340"/>
      <w:r>
        <w:t>2.6. Actualización parcial: ausente contra nulo</w:t>
      </w:r>
      <w:bookmarkEnd w:id="6"/>
    </w:p>
    <w:p w14:paraId="7312A0E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Acá aparece un problema que parece de detalle y no lo es, y el TPI lo resuelve explícitamente en su sección 6.1.</w:t>
      </w:r>
    </w:p>
    <w:p w14:paraId="1D3C5368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Cuando llega una modificación parcial, hay </w:t>
      </w:r>
      <w:r w:rsidRPr="00D56277">
        <w:rPr>
          <w:rFonts w:cs="Calibri"/>
          <w:b/>
        </w:rPr>
        <w:t>tres situaciones distintas</w:t>
      </w:r>
      <w:r w:rsidRPr="00D56277">
        <w:rPr>
          <w:rFonts w:cs="Calibri"/>
        </w:rPr>
        <w:t xml:space="preserve"> para cada campo, y sólo dos son fáciles: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6277" w:rsidRPr="00D56277" w14:paraId="02FACA90" w14:textId="77777777" w:rsidTr="00D56277">
        <w:tc>
          <w:tcPr>
            <w:tcW w:w="2831" w:type="dxa"/>
            <w:shd w:val="clear" w:color="D9E2F3" w:fill="D9E2F3"/>
          </w:tcPr>
          <w:p w14:paraId="1CA9F67A" w14:textId="34CECFD5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El cliente...</w:t>
            </w:r>
          </w:p>
        </w:tc>
        <w:tc>
          <w:tcPr>
            <w:tcW w:w="2831" w:type="dxa"/>
            <w:shd w:val="clear" w:color="D9E2F3" w:fill="D9E2F3"/>
          </w:tcPr>
          <w:p w14:paraId="3F616F60" w14:textId="7D07E628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Significa</w:t>
            </w:r>
          </w:p>
        </w:tc>
        <w:tc>
          <w:tcPr>
            <w:tcW w:w="2832" w:type="dxa"/>
            <w:shd w:val="clear" w:color="D9E2F3" w:fill="D9E2F3"/>
          </w:tcPr>
          <w:p w14:paraId="17FA938A" w14:textId="33158D2F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Qué hay que hacer</w:t>
            </w:r>
          </w:p>
        </w:tc>
      </w:tr>
      <w:tr w:rsidR="00D56277" w:rsidRPr="00D56277" w14:paraId="271131F3" w14:textId="77777777" w:rsidTr="00D56277">
        <w:tc>
          <w:tcPr>
            <w:tcW w:w="2831" w:type="dxa"/>
          </w:tcPr>
          <w:p w14:paraId="6A3996FB" w14:textId="5CD61944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Manda </w:t>
            </w:r>
            <w:r w:rsidRPr="00D56277">
              <w:rPr>
                <w:rFonts w:ascii="Consolas" w:hAnsi="Consolas" w:cs="Calibri"/>
                <w:sz w:val="20"/>
              </w:rPr>
              <w:t>{"nombre": "Napolitana"}</w:t>
            </w:r>
          </w:p>
        </w:tc>
        <w:tc>
          <w:tcPr>
            <w:tcW w:w="2831" w:type="dxa"/>
          </w:tcPr>
          <w:p w14:paraId="3E61FC85" w14:textId="1C9433B3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"Cambiá el nombre a esto"</w:t>
            </w:r>
          </w:p>
        </w:tc>
        <w:tc>
          <w:tcPr>
            <w:tcW w:w="2832" w:type="dxa"/>
          </w:tcPr>
          <w:p w14:paraId="502142EC" w14:textId="7C902660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Actualizar</w:t>
            </w:r>
          </w:p>
        </w:tc>
      </w:tr>
      <w:tr w:rsidR="00D56277" w:rsidRPr="00D56277" w14:paraId="5554218E" w14:textId="77777777" w:rsidTr="00D56277">
        <w:tc>
          <w:tcPr>
            <w:tcW w:w="2831" w:type="dxa"/>
          </w:tcPr>
          <w:p w14:paraId="59B6056D" w14:textId="411D3499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lastRenderedPageBreak/>
              <w:t xml:space="preserve">No manda </w:t>
            </w:r>
            <w:r w:rsidRPr="00D56277">
              <w:rPr>
                <w:rFonts w:ascii="Consolas" w:hAnsi="Consolas" w:cs="Calibri"/>
                <w:b/>
                <w:sz w:val="20"/>
              </w:rPr>
              <w:t>nombre</w:t>
            </w:r>
          </w:p>
        </w:tc>
        <w:tc>
          <w:tcPr>
            <w:tcW w:w="2831" w:type="dxa"/>
          </w:tcPr>
          <w:p w14:paraId="36FB11BF" w14:textId="1877B803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"No toques el nombre"</w:t>
            </w:r>
          </w:p>
        </w:tc>
        <w:tc>
          <w:tcPr>
            <w:tcW w:w="2832" w:type="dxa"/>
          </w:tcPr>
          <w:p w14:paraId="58E49C7C" w14:textId="43DB0A2E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Dejarlo intacto</w:t>
            </w:r>
          </w:p>
        </w:tc>
      </w:tr>
      <w:tr w:rsidR="00D56277" w:rsidRPr="00D56277" w14:paraId="049A76DE" w14:textId="77777777" w:rsidTr="00D56277">
        <w:tc>
          <w:tcPr>
            <w:tcW w:w="2831" w:type="dxa"/>
          </w:tcPr>
          <w:p w14:paraId="17981CA1" w14:textId="45225E4D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Manda </w:t>
            </w:r>
            <w:r w:rsidRPr="00D56277">
              <w:rPr>
                <w:rFonts w:ascii="Consolas" w:hAnsi="Consolas" w:cs="Calibri"/>
                <w:sz w:val="20"/>
              </w:rPr>
              <w:t>{"nombre": null}</w:t>
            </w:r>
          </w:p>
        </w:tc>
        <w:tc>
          <w:tcPr>
            <w:tcW w:w="2831" w:type="dxa"/>
          </w:tcPr>
          <w:p w14:paraId="418F1060" w14:textId="528896C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"Vaciá el nombre"</w:t>
            </w:r>
          </w:p>
        </w:tc>
        <w:tc>
          <w:tcPr>
            <w:tcW w:w="2832" w:type="dxa"/>
          </w:tcPr>
          <w:p w14:paraId="2873FC15" w14:textId="5D0D0BDC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Poner nulo</w:t>
            </w:r>
          </w:p>
        </w:tc>
      </w:tr>
    </w:tbl>
    <w:p w14:paraId="4EF0FE9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segunda y la tercera fila </w:t>
      </w:r>
      <w:r w:rsidRPr="00D56277">
        <w:rPr>
          <w:rFonts w:cs="Calibri"/>
          <w:b/>
        </w:rPr>
        <w:t>se ven iguales</w:t>
      </w:r>
      <w:r w:rsidRPr="00D56277">
        <w:rPr>
          <w:rFonts w:cs="Calibri"/>
        </w:rPr>
        <w:t xml:space="preserve"> si sólo se mira el objeto ya construido: en las dos, </w:t>
      </w:r>
      <w:r w:rsidRPr="00D56277">
        <w:rPr>
          <w:rFonts w:ascii="Consolas" w:hAnsi="Consolas" w:cs="Calibri"/>
          <w:sz w:val="20"/>
        </w:rPr>
        <w:t>modelo.nombre</w:t>
      </w:r>
      <w:r w:rsidRPr="00D56277">
        <w:rPr>
          <w:rFonts w:cs="Calibri"/>
        </w:rPr>
        <w:t xml:space="preserve"> vale </w:t>
      </w:r>
      <w:r w:rsidRPr="00D56277">
        <w:rPr>
          <w:rFonts w:ascii="Consolas" w:hAnsi="Consolas" w:cs="Calibri"/>
          <w:sz w:val="20"/>
        </w:rPr>
        <w:t>None</w:t>
      </w:r>
      <w:r w:rsidRPr="00D56277">
        <w:rPr>
          <w:rFonts w:cs="Calibri"/>
        </w:rPr>
        <w:t>. Y son órdenes opuestas.</w:t>
      </w:r>
    </w:p>
    <w:p w14:paraId="4047E42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distinción se resuelve preguntando </w:t>
      </w:r>
      <w:r w:rsidRPr="00D56277">
        <w:rPr>
          <w:rFonts w:cs="Calibri"/>
          <w:b/>
        </w:rPr>
        <w:t>qué campos vinieron efectivamente</w:t>
      </w:r>
      <w:r w:rsidRPr="00D56277">
        <w:rPr>
          <w:rFonts w:cs="Calibri"/>
        </w:rPr>
        <w:t>, y el TPI declara cómo: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67A90990" w14:textId="77777777" w:rsidTr="00D56277">
        <w:tc>
          <w:tcPr>
            <w:tcW w:w="8494" w:type="dxa"/>
            <w:shd w:val="clear" w:color="EFEFEF" w:fill="EFEFEF"/>
          </w:tcPr>
          <w:p w14:paraId="418D6002" w14:textId="5AE0B52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Los schemas </w:t>
            </w:r>
            <w:r w:rsidRPr="00D56277">
              <w:rPr>
                <w:rFonts w:ascii="Consolas" w:hAnsi="Consolas" w:cs="Calibri"/>
                <w:sz w:val="20"/>
              </w:rPr>
              <w:t>Update</w:t>
            </w:r>
            <w:r w:rsidRPr="00D56277">
              <w:rPr>
                <w:rFonts w:cs="Calibri"/>
              </w:rPr>
              <w:t xml:space="preserve"> tienen </w:t>
            </w:r>
            <w:r w:rsidRPr="00D56277">
              <w:rPr>
                <w:rFonts w:cs="Calibri"/>
                <w:b/>
              </w:rPr>
              <w:t>todos sus campos opcionales</w:t>
            </w:r>
            <w:r w:rsidRPr="00D56277">
              <w:rPr>
                <w:rFonts w:cs="Calibri"/>
              </w:rPr>
              <w:t xml:space="preserve"> y el Service aplica </w:t>
            </w:r>
            <w:r w:rsidRPr="00D56277">
              <w:rPr>
                <w:rFonts w:ascii="Consolas" w:hAnsi="Consolas" w:cs="Calibri"/>
                <w:b/>
                <w:sz w:val="20"/>
              </w:rPr>
              <w:t>model_dump(exclude_unset=True)</w:t>
            </w:r>
            <w:r w:rsidRPr="00D56277">
              <w:rPr>
                <w:rFonts w:cs="Calibri"/>
              </w:rPr>
              <w:t>. Omitir un campo lo deja intacto; enviarlo explícitamente lo cambia.</w:t>
            </w:r>
          </w:p>
        </w:tc>
      </w:tr>
    </w:tbl>
    <w:p w14:paraId="71B9987E" w14:textId="77777777" w:rsidR="00D56277" w:rsidRDefault="00D56277" w:rsidP="00D56277">
      <w:pPr>
        <w:pStyle w:val="Bloquedecdigo"/>
      </w:pPr>
      <w:r w:rsidRPr="00D56277">
        <w:t>datos = producto_update.model_dump(exclude_unset=True)</w:t>
      </w:r>
      <w:r w:rsidRPr="00D56277">
        <w:br/>
        <w:t>for campo, valor in datos.items():</w:t>
      </w:r>
      <w:r w:rsidRPr="00D56277">
        <w:br/>
        <w:t xml:space="preserve">    setattr(producto, campo, valor)</w:t>
      </w:r>
    </w:p>
    <w:p w14:paraId="2C8651C7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ascii="Consolas" w:hAnsi="Consolas" w:cs="Calibri"/>
          <w:sz w:val="20"/>
        </w:rPr>
        <w:t>exclude_unset=True</w:t>
      </w:r>
      <w:r w:rsidRPr="00D56277">
        <w:rPr>
          <w:rFonts w:cs="Calibri"/>
        </w:rPr>
        <w:t xml:space="preserve"> devuelve </w:t>
      </w:r>
      <w:r w:rsidRPr="00D56277">
        <w:rPr>
          <w:rFonts w:cs="Calibri"/>
          <w:b/>
        </w:rPr>
        <w:t>sólo los campos que el cliente mandó</w:t>
      </w:r>
      <w:r w:rsidRPr="00D56277">
        <w:rPr>
          <w:rFonts w:cs="Calibri"/>
        </w:rPr>
        <w:t xml:space="preserve">. Si no mandó </w:t>
      </w:r>
      <w:r w:rsidRPr="00D56277">
        <w:rPr>
          <w:rFonts w:ascii="Consolas" w:hAnsi="Consolas" w:cs="Calibri"/>
          <w:sz w:val="20"/>
        </w:rPr>
        <w:t>nombre</w:t>
      </w:r>
      <w:r w:rsidRPr="00D56277">
        <w:rPr>
          <w:rFonts w:cs="Calibri"/>
        </w:rPr>
        <w:t>, no aparece en el diccionario y el bucle no lo toca. Si lo mandó como nulo, aparece con valor nulo y se aplica.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6B9B194C" w14:textId="77777777" w:rsidTr="00D56277">
        <w:tc>
          <w:tcPr>
            <w:tcW w:w="8494" w:type="dxa"/>
            <w:shd w:val="clear" w:color="FDECEA" w:fill="FDECEA"/>
          </w:tcPr>
          <w:p w14:paraId="5BA532CF" w14:textId="06BB8D95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C00000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56277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</w:tc>
      </w:tr>
      <w:tr w:rsidR="00D56277" w:rsidRPr="00D56277" w14:paraId="3260CA13" w14:textId="77777777" w:rsidTr="00D56277">
        <w:tc>
          <w:tcPr>
            <w:tcW w:w="8494" w:type="dxa"/>
            <w:shd w:val="clear" w:color="FDECEA" w:fill="FDECEA"/>
          </w:tcPr>
          <w:p w14:paraId="38265A3E" w14:textId="64332F2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Este es el bug más elegante y más difícil de encontrar de todo el capítulo, así que mirá bien:</w:t>
            </w:r>
          </w:p>
        </w:tc>
      </w:tr>
      <w:tr w:rsidR="00D56277" w:rsidRPr="00D56277" w14:paraId="7D66AED2" w14:textId="77777777" w:rsidTr="00D56277">
        <w:tc>
          <w:tcPr>
            <w:tcW w:w="8494" w:type="dxa"/>
            <w:shd w:val="clear" w:color="FDECEA" w:fill="FDECEA"/>
          </w:tcPr>
          <w:p w14:paraId="463514AB" w14:textId="1AA48A1E" w:rsidR="00D56277" w:rsidRPr="00D56277" w:rsidRDefault="00D56277" w:rsidP="00D56277">
            <w:pPr>
              <w:pStyle w:val="Bloquedecdigo"/>
              <w:spacing w:before="0" w:after="100"/>
              <w:ind w:left="0" w:right="0"/>
            </w:pPr>
            <w:r w:rsidRPr="00D56277">
              <w:t># MAL: model_dump() sin exclude_unset devuelve TODOS los campos</w:t>
            </w:r>
            <w:r w:rsidRPr="00D56277">
              <w:br/>
              <w:t>datos = producto_update.model_dump()</w:t>
            </w:r>
            <w:r w:rsidRPr="00D56277">
              <w:br/>
              <w:t>for campo, valor in datos.items():</w:t>
            </w:r>
            <w:r w:rsidRPr="00D56277">
              <w:br/>
              <w:t xml:space="preserve">    setattr(producto, campo, valor)</w:t>
            </w:r>
          </w:p>
        </w:tc>
      </w:tr>
      <w:tr w:rsidR="00D56277" w:rsidRPr="00D56277" w14:paraId="2AB8C31C" w14:textId="77777777" w:rsidTr="00D56277">
        <w:tc>
          <w:tcPr>
            <w:tcW w:w="8494" w:type="dxa"/>
            <w:shd w:val="clear" w:color="FDECEA" w:fill="FDECEA"/>
          </w:tcPr>
          <w:p w14:paraId="674DB229" w14:textId="3553550D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El cliente mandó </w:t>
            </w:r>
            <w:r w:rsidRPr="00D56277">
              <w:rPr>
                <w:rFonts w:ascii="Consolas" w:hAnsi="Consolas" w:cs="Calibri"/>
                <w:sz w:val="20"/>
              </w:rPr>
              <w:t>{"precio": "5000.00"}</w:t>
            </w:r>
            <w:r w:rsidRPr="00D56277">
              <w:rPr>
                <w:rFonts w:cs="Calibri"/>
              </w:rPr>
              <w:t xml:space="preserve"> para cambiar sólo el precio. Pero </w:t>
            </w:r>
            <w:r w:rsidRPr="00D56277">
              <w:rPr>
                <w:rFonts w:ascii="Consolas" w:hAnsi="Consolas" w:cs="Calibri"/>
                <w:sz w:val="20"/>
              </w:rPr>
              <w:t>model_dump()</w:t>
            </w:r>
            <w:r w:rsidRPr="00D56277">
              <w:rPr>
                <w:rFonts w:cs="Calibri"/>
              </w:rPr>
              <w:t xml:space="preserve"> sin argumentos devuelve </w:t>
            </w:r>
            <w:r w:rsidRPr="00D56277">
              <w:rPr>
                <w:rFonts w:cs="Calibri"/>
                <w:b/>
              </w:rPr>
              <w:t>todos los campos del modelo</w:t>
            </w:r>
            <w:r w:rsidRPr="00D56277">
              <w:rPr>
                <w:rFonts w:cs="Calibri"/>
              </w:rPr>
              <w:t xml:space="preserve">, y los que el cliente no mandó valen </w:t>
            </w:r>
            <w:r w:rsidRPr="00D56277">
              <w:rPr>
                <w:rFonts w:ascii="Consolas" w:hAnsi="Consolas" w:cs="Calibri"/>
                <w:sz w:val="20"/>
              </w:rPr>
              <w:t>None</w:t>
            </w:r>
            <w:r w:rsidRPr="00D56277">
              <w:rPr>
                <w:rFonts w:cs="Calibri"/>
              </w:rPr>
              <w:t xml:space="preserve"> por ser opcionales.</w:t>
            </w:r>
          </w:p>
        </w:tc>
      </w:tr>
      <w:tr w:rsidR="00D56277" w:rsidRPr="00D56277" w14:paraId="66796DFF" w14:textId="77777777" w:rsidTr="00D56277">
        <w:tc>
          <w:tcPr>
            <w:tcW w:w="8494" w:type="dxa"/>
            <w:shd w:val="clear" w:color="FDECEA" w:fill="FDECEA"/>
          </w:tcPr>
          <w:p w14:paraId="0D21D873" w14:textId="58F29762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Resultado: le cambiaste el precio y le borraste el nombre, la descripción y la categoría.</w:t>
            </w:r>
          </w:p>
        </w:tc>
      </w:tr>
      <w:tr w:rsidR="00D56277" w:rsidRPr="00D56277" w14:paraId="7FA1D611" w14:textId="77777777" w:rsidTr="00D56277">
        <w:tc>
          <w:tcPr>
            <w:tcW w:w="8494" w:type="dxa"/>
            <w:shd w:val="clear" w:color="FDECEA" w:fill="FDECEA"/>
          </w:tcPr>
          <w:p w14:paraId="5B7DAEA5" w14:textId="6DA66543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Y lo peor es cómo se manifiesta. El endpoint devuelve </w:t>
            </w:r>
            <w:r w:rsidRPr="00D56277">
              <w:rPr>
                <w:rFonts w:ascii="Consolas" w:hAnsi="Consolas" w:cs="Calibri"/>
                <w:sz w:val="20"/>
              </w:rPr>
              <w:t>200</w:t>
            </w:r>
            <w:r w:rsidRPr="00D56277">
              <w:rPr>
                <w:rFonts w:cs="Calibri"/>
              </w:rPr>
              <w:t>. No hay excepción, no hay log de error. Alguien entra tres días después y ve productos sin nombre, y nadie puede reconstruir qué pasó.</w:t>
            </w:r>
          </w:p>
        </w:tc>
      </w:tr>
      <w:tr w:rsidR="00D56277" w:rsidRPr="00D56277" w14:paraId="17287920" w14:textId="77777777" w:rsidTr="00D56277">
        <w:tc>
          <w:tcPr>
            <w:tcW w:w="8494" w:type="dxa"/>
            <w:shd w:val="clear" w:color="FDECEA" w:fill="FDECEA"/>
          </w:tcPr>
          <w:p w14:paraId="7E9E3A1D" w14:textId="2387B34D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Un solo argumento separa una actualización parcial de un borrado silencioso.</w:t>
            </w:r>
            <w:r w:rsidRPr="00D56277">
              <w:rPr>
                <w:rFonts w:cs="Calibri"/>
              </w:rPr>
              <w:t xml:space="preserve"> Por eso el TPI lo declara en la sección 6.1 en vez de dejarlo a criterio.</w:t>
            </w:r>
          </w:p>
        </w:tc>
      </w:tr>
    </w:tbl>
    <w:p w14:paraId="558E2E50" w14:textId="77777777" w:rsidR="00D56277" w:rsidRDefault="00D56277" w:rsidP="00D56277">
      <w:pPr>
        <w:pStyle w:val="Ttulo2cap"/>
      </w:pPr>
      <w:bookmarkStart w:id="7" w:name="_Toc238750341"/>
      <w:r>
        <w:t>2.7. El dinero y las cantidades</w:t>
      </w:r>
      <w:bookmarkEnd w:id="7"/>
    </w:p>
    <w:p w14:paraId="1D993D2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El TPI es taxativo en su sección 6.1, y conviene citarlo entero porque cada parte tiene su razón: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64694DC1" w14:textId="77777777" w:rsidTr="00D56277">
        <w:tc>
          <w:tcPr>
            <w:tcW w:w="8494" w:type="dxa"/>
            <w:shd w:val="clear" w:color="EFEFEF" w:fill="EFEFEF"/>
          </w:tcPr>
          <w:p w14:paraId="278CECE8" w14:textId="36D8DE46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Todos los importes son </w:t>
            </w:r>
            <w:r w:rsidRPr="00D56277">
              <w:rPr>
                <w:rFonts w:ascii="Consolas" w:hAnsi="Consolas" w:cs="Calibri"/>
                <w:b/>
                <w:sz w:val="20"/>
              </w:rPr>
              <w:t>DECIMAL(10,2)</w:t>
            </w:r>
            <w:r w:rsidRPr="00D56277">
              <w:rPr>
                <w:rFonts w:cs="Calibri"/>
              </w:rPr>
              <w:t xml:space="preserve"> en la moneda declarada, y viajan en JSON como </w:t>
            </w:r>
            <w:r w:rsidRPr="00D56277">
              <w:rPr>
                <w:rFonts w:cs="Calibri"/>
                <w:b/>
              </w:rPr>
              <w:t>cadena decimal</w:t>
            </w:r>
            <w:r w:rsidRPr="00D56277">
              <w:rPr>
                <w:rFonts w:cs="Calibri"/>
              </w:rPr>
              <w:t xml:space="preserve"> —</w:t>
            </w:r>
            <w:r w:rsidRPr="00D56277">
              <w:rPr>
                <w:rFonts w:ascii="Consolas" w:hAnsi="Consolas" w:cs="Calibri"/>
                <w:sz w:val="20"/>
              </w:rPr>
              <w:t>"1234</w:t>
            </w:r>
            <w:r w:rsidRPr="00D56277">
              <w:rPr>
                <w:rFonts w:ascii="Consolas" w:hAnsi="Consolas" w:cs="Calibri"/>
                <w:b/>
                <w:sz w:val="20"/>
              </w:rPr>
              <w:t>.</w:t>
            </w:r>
            <w:r w:rsidRPr="00D56277">
              <w:rPr>
                <w:rFonts w:ascii="Consolas" w:hAnsi="Consolas" w:cs="Calibri"/>
                <w:sz w:val="20"/>
              </w:rPr>
              <w:t>50"</w:t>
            </w:r>
            <w:r w:rsidRPr="00D56277">
              <w:rPr>
                <w:rFonts w:cs="Calibri"/>
              </w:rPr>
              <w:t>—</w:t>
            </w:r>
            <w:r w:rsidRPr="00D56277">
              <w:rPr>
                <w:rFonts w:cs="Calibri"/>
                <w:b/>
              </w:rPr>
              <w:t>.</w:t>
            </w:r>
            <w:r w:rsidRPr="00D56277">
              <w:rPr>
                <w:rFonts w:cs="Calibri"/>
              </w:rPr>
              <w:t xml:space="preserve"> </w:t>
            </w:r>
            <w:r w:rsidRPr="00D56277">
              <w:rPr>
                <w:rFonts w:cs="Calibri"/>
                <w:b/>
              </w:rPr>
              <w:t xml:space="preserve">El tipo TypeScript espejo es </w:t>
            </w:r>
            <w:r w:rsidRPr="00D56277">
              <w:rPr>
                <w:rFonts w:ascii="Consolas" w:hAnsi="Consolas" w:cs="Calibri"/>
                <w:b/>
                <w:sz w:val="20"/>
              </w:rPr>
              <w:t>string</w:t>
            </w:r>
            <w:r w:rsidRPr="00D56277">
              <w:rPr>
                <w:rFonts w:cs="Calibri"/>
                <w:b/>
              </w:rPr>
              <w:t>.</w:t>
            </w:r>
          </w:p>
        </w:tc>
      </w:tr>
    </w:tbl>
    <w:p w14:paraId="7018FCD8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Y para las cantidades de insumo: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582E1B24" w14:textId="77777777" w:rsidTr="00D56277">
        <w:tc>
          <w:tcPr>
            <w:tcW w:w="8494" w:type="dxa"/>
            <w:shd w:val="clear" w:color="EFEFEF" w:fill="EFEFEF"/>
          </w:tcPr>
          <w:p w14:paraId="2F11C7E3" w14:textId="7BD41F72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Las cantidades de receta y de stock de insumo son </w:t>
            </w:r>
            <w:r w:rsidRPr="00D56277">
              <w:rPr>
                <w:rFonts w:ascii="Consolas" w:hAnsi="Consolas" w:cs="Calibri"/>
                <w:b/>
                <w:sz w:val="20"/>
              </w:rPr>
              <w:t>DECIMAL(12,3)</w:t>
            </w:r>
            <w:r w:rsidRPr="00D56277">
              <w:rPr>
                <w:rFonts w:cs="Calibri"/>
              </w:rPr>
              <w:t xml:space="preserve"> y viajan también como cadena decimal, </w:t>
            </w:r>
            <w:r w:rsidRPr="00D56277">
              <w:rPr>
                <w:rFonts w:cs="Calibri"/>
                <w:b/>
              </w:rPr>
              <w:t>acompañadas siempre del código de la unidad</w:t>
            </w:r>
            <w:r w:rsidRPr="00D56277">
              <w:rPr>
                <w:rFonts w:cs="Calibri"/>
              </w:rPr>
              <w:t>.</w:t>
            </w:r>
          </w:p>
        </w:tc>
      </w:tr>
    </w:tbl>
    <w:p w14:paraId="624121D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Tres decisiones, tres razones distintas.</w:t>
      </w:r>
    </w:p>
    <w:p w14:paraId="6160D3C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lastRenderedPageBreak/>
        <w:t xml:space="preserve">Por qué </w:t>
      </w:r>
      <w:r w:rsidRPr="00D56277">
        <w:rPr>
          <w:rFonts w:ascii="Consolas" w:hAnsi="Consolas" w:cs="Calibri"/>
          <w:b/>
          <w:sz w:val="20"/>
        </w:rPr>
        <w:t>Decimal</w:t>
      </w:r>
      <w:r w:rsidRPr="00D56277">
        <w:rPr>
          <w:rFonts w:cs="Calibri"/>
          <w:b/>
        </w:rPr>
        <w:t xml:space="preserve"> y no punto flotante.</w:t>
      </w:r>
      <w:r w:rsidRPr="00D56277">
        <w:rPr>
          <w:rFonts w:cs="Calibri"/>
        </w:rPr>
        <w:t xml:space="preserve"> El formato de punto flotante representa los números en base dos, y hay decimales que en base dos son periódicos. </w:t>
      </w:r>
      <w:r w:rsidRPr="00D56277">
        <w:rPr>
          <w:rFonts w:ascii="Consolas" w:hAnsi="Consolas" w:cs="Calibri"/>
          <w:sz w:val="20"/>
        </w:rPr>
        <w:t>0.1</w:t>
      </w:r>
      <w:r w:rsidRPr="00D56277">
        <w:rPr>
          <w:rFonts w:cs="Calibri"/>
        </w:rPr>
        <w:t xml:space="preserve"> es uno de ellos. Sumar importes en punto flotante acumula diferencias de centavos que después no cierran contra la facturación. </w:t>
      </w:r>
      <w:r w:rsidRPr="00D56277">
        <w:rPr>
          <w:rFonts w:ascii="Consolas" w:hAnsi="Consolas" w:cs="Calibri"/>
          <w:sz w:val="20"/>
        </w:rPr>
        <w:t>Decimal</w:t>
      </w:r>
      <w:r w:rsidRPr="00D56277">
        <w:rPr>
          <w:rFonts w:cs="Calibri"/>
        </w:rPr>
        <w:t xml:space="preserve"> representa exactamente lo que se le da.</w:t>
      </w:r>
    </w:p>
    <w:p w14:paraId="537C16E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Por qué viaja como cadena.</w:t>
      </w:r>
      <w:r w:rsidRPr="00D56277">
        <w:rPr>
          <w:rFonts w:cs="Calibri"/>
        </w:rPr>
        <w:t xml:space="preserve"> Porque JSON no distingue entre un entero, un decimal y un punto flotante: tiene un solo tipo numérico. Si el importe viajara como número, </w:t>
      </w:r>
      <w:r w:rsidRPr="00D56277">
        <w:rPr>
          <w:rFonts w:cs="Calibri"/>
          <w:b/>
        </w:rPr>
        <w:t>el cliente lo convertiría a punto flotante al parsearlo</w:t>
      </w:r>
      <w:r w:rsidRPr="00D56277">
        <w:rPr>
          <w:rFonts w:cs="Calibri"/>
        </w:rPr>
        <w:t>, y el error aparecería del otro lado sin que el servidor pudiera hacer nada. Mandarlo como texto garantiza que llegue exactamente igual.</w:t>
      </w:r>
    </w:p>
    <w:p w14:paraId="28C7B387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Por qué la cantidad viaja con su unidad.</w:t>
      </w:r>
      <w:r w:rsidRPr="00D56277">
        <w:rPr>
          <w:rFonts w:cs="Calibri"/>
        </w:rPr>
        <w:t xml:space="preserve"> Un </w:t>
      </w:r>
      <w:r w:rsidRPr="00D56277">
        <w:rPr>
          <w:rFonts w:ascii="Consolas" w:hAnsi="Consolas" w:cs="Calibri"/>
          <w:sz w:val="20"/>
        </w:rPr>
        <w:t>"1.500"</w:t>
      </w:r>
      <w:r w:rsidRPr="00D56277">
        <w:rPr>
          <w:rFonts w:cs="Calibri"/>
        </w:rPr>
        <w:t xml:space="preserve"> no significa nada por sí solo: puede ser un kilo y medio o mil quinientos gramos. El TPI exige que la unidad acompañe al número siempre, y eso elimina una clase entera de errores.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:rsidRPr="00D56277" w14:paraId="21F32E45" w14:textId="77777777" w:rsidTr="00D56277">
        <w:tc>
          <w:tcPr>
            <w:tcW w:w="8494" w:type="dxa"/>
            <w:shd w:val="clear" w:color="FFFFFF" w:fill="FFFFFF"/>
            <w:vAlign w:val="center"/>
          </w:tcPr>
          <w:p w14:paraId="5E5FF2D1" w14:textId="1E5FEEAF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drawing>
                <wp:inline distT="0" distB="0" distL="0" distR="0" wp14:anchorId="6154611A" wp14:editId="4D2A7CB9">
                  <wp:extent cx="5198127" cy="1536700"/>
                  <wp:effectExtent l="0" t="0" r="2540" b="6350"/>
                  <wp:docPr id="31961787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1787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127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6F53D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>Figura 2.4. El importe de la base al cliente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5BA18C1C" w14:textId="77777777" w:rsidTr="00D56277">
        <w:tc>
          <w:tcPr>
            <w:tcW w:w="8494" w:type="dxa"/>
            <w:shd w:val="clear" w:color="EFEFEF" w:fill="EFEFEF"/>
          </w:tcPr>
          <w:p w14:paraId="7A63A443" w14:textId="308AAF65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595959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D56277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</w:tc>
      </w:tr>
      <w:tr w:rsidR="00D56277" w:rsidRPr="00D56277" w14:paraId="22D4C5C8" w14:textId="77777777" w:rsidTr="00D56277">
        <w:tc>
          <w:tcPr>
            <w:tcW w:w="8494" w:type="dxa"/>
            <w:shd w:val="clear" w:color="EFEFEF" w:fill="EFEFEF"/>
          </w:tcPr>
          <w:p w14:paraId="5F88EC0E" w14:textId="537787D0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Guardá esto porque es el mejor ejemplo del módulo de </w:t>
            </w:r>
            <w:r w:rsidRPr="00D56277">
              <w:rPr>
                <w:rFonts w:cs="Calibri"/>
                <w:b/>
              </w:rPr>
              <w:t>una decisión que atraviesa los dos lados del sistema.</w:t>
            </w:r>
          </w:p>
        </w:tc>
      </w:tr>
      <w:tr w:rsidR="00D56277" w:rsidRPr="00D56277" w14:paraId="39AE069C" w14:textId="77777777" w:rsidTr="00D56277">
        <w:tc>
          <w:tcPr>
            <w:tcW w:w="8494" w:type="dxa"/>
            <w:shd w:val="clear" w:color="EFEFEF" w:fill="EFEFEF"/>
          </w:tcPr>
          <w:p w14:paraId="57B44453" w14:textId="2BA21366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Vos declarás </w:t>
            </w:r>
            <w:r w:rsidRPr="00D56277">
              <w:rPr>
                <w:rFonts w:ascii="Consolas" w:hAnsi="Consolas" w:cs="Calibri"/>
                <w:sz w:val="20"/>
              </w:rPr>
              <w:t>Decimal</w:t>
            </w:r>
            <w:r w:rsidRPr="00D56277">
              <w:rPr>
                <w:rFonts w:cs="Calibri"/>
              </w:rPr>
              <w:t xml:space="preserve"> en el modelo y </w:t>
            </w:r>
            <w:r w:rsidRPr="00D56277">
              <w:rPr>
                <w:rFonts w:ascii="Consolas" w:hAnsi="Consolas" w:cs="Calibri"/>
                <w:sz w:val="20"/>
              </w:rPr>
              <w:t>string</w:t>
            </w:r>
            <w:r w:rsidRPr="00D56277">
              <w:rPr>
                <w:rFonts w:cs="Calibri"/>
              </w:rPr>
              <w:t xml:space="preserve"> en el schema. Tus compañeros del turno de frontend declaran </w:t>
            </w:r>
            <w:r w:rsidRPr="00D56277">
              <w:rPr>
                <w:rFonts w:ascii="Consolas" w:hAnsi="Consolas" w:cs="Calibri"/>
                <w:sz w:val="20"/>
              </w:rPr>
              <w:t>total: string</w:t>
            </w:r>
            <w:r w:rsidRPr="00D56277">
              <w:rPr>
                <w:rFonts w:cs="Calibri"/>
              </w:rPr>
              <w:t xml:space="preserve"> en TypeScript y tienen prohibido operar con ese valor. </w:t>
            </w:r>
            <w:r w:rsidRPr="00D56277">
              <w:rPr>
                <w:rFonts w:cs="Calibri"/>
                <w:b/>
              </w:rPr>
              <w:t>Es la misma decisión, tomada dos veces, por la misma razón.</w:t>
            </w:r>
          </w:p>
        </w:tc>
      </w:tr>
      <w:tr w:rsidR="00D56277" w:rsidRPr="00D56277" w14:paraId="141910BC" w14:textId="77777777" w:rsidTr="00D56277">
        <w:tc>
          <w:tcPr>
            <w:tcW w:w="8494" w:type="dxa"/>
            <w:shd w:val="clear" w:color="EFEFEF" w:fill="EFEFEF"/>
          </w:tcPr>
          <w:p w14:paraId="64405C12" w14:textId="3909045F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Y del lado de ellos hay un detalle que te va a interesar: el TPI dice que el garante de esa regla </w:t>
            </w:r>
            <w:r w:rsidRPr="00D56277">
              <w:rPr>
                <w:rFonts w:cs="Calibri"/>
                <w:b/>
              </w:rPr>
              <w:t>es el tipo de TypeScript</w:t>
            </w:r>
            <w:r w:rsidRPr="00D56277">
              <w:rPr>
                <w:rFonts w:cs="Calibri"/>
              </w:rPr>
              <w:t xml:space="preserve">, porque si dijera </w:t>
            </w:r>
            <w:r w:rsidRPr="00D56277">
              <w:rPr>
                <w:rFonts w:ascii="Consolas" w:hAnsi="Consolas" w:cs="Calibri"/>
                <w:sz w:val="20"/>
              </w:rPr>
              <w:t>number</w:t>
            </w:r>
            <w:r w:rsidRPr="00D56277">
              <w:rPr>
                <w:rFonts w:cs="Calibri"/>
              </w:rPr>
              <w:t xml:space="preserve"> el compilador dejaría escribir </w:t>
            </w:r>
            <w:r w:rsidRPr="00D56277">
              <w:rPr>
                <w:rFonts w:ascii="Consolas" w:hAnsi="Consolas" w:cs="Calibri"/>
                <w:sz w:val="20"/>
              </w:rPr>
              <w:t>total * cantidad</w:t>
            </w:r>
            <w:r w:rsidRPr="00D56277">
              <w:rPr>
                <w:rFonts w:cs="Calibri"/>
              </w:rPr>
              <w:t xml:space="preserve">. Diciendo </w:t>
            </w:r>
            <w:r w:rsidRPr="00D56277">
              <w:rPr>
                <w:rFonts w:ascii="Consolas" w:hAnsi="Consolas" w:cs="Calibri"/>
                <w:sz w:val="20"/>
              </w:rPr>
              <w:t>string</w:t>
            </w:r>
            <w:r w:rsidRPr="00D56277">
              <w:rPr>
                <w:rFonts w:cs="Calibri"/>
              </w:rPr>
              <w:t>, lo rechaza — no porque entienda de dinero, sino porque no se puede multiplicar texto.</w:t>
            </w:r>
          </w:p>
        </w:tc>
      </w:tr>
      <w:tr w:rsidR="00D56277" w:rsidRPr="00D56277" w14:paraId="41929C80" w14:textId="77777777" w:rsidTr="00D56277">
        <w:tc>
          <w:tcPr>
            <w:tcW w:w="8494" w:type="dxa"/>
            <w:shd w:val="clear" w:color="EFEFEF" w:fill="EFEFEF"/>
          </w:tcPr>
          <w:p w14:paraId="20A3A8E2" w14:textId="29F98DB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Fijate lo que eso significa: </w:t>
            </w:r>
            <w:r w:rsidRPr="00D56277">
              <w:rPr>
                <w:rFonts w:cs="Calibri"/>
                <w:b/>
              </w:rPr>
              <w:t>la restricción la impone el tipo, no la disciplina de quien escribe.</w:t>
            </w:r>
            <w:r w:rsidRPr="00D56277">
              <w:rPr>
                <w:rFonts w:cs="Calibri"/>
              </w:rPr>
              <w:t xml:space="preserve"> Y de este lado pasa igual: </w:t>
            </w:r>
            <w:r w:rsidRPr="00D56277">
              <w:rPr>
                <w:rFonts w:ascii="Consolas" w:hAnsi="Consolas" w:cs="Calibri"/>
                <w:sz w:val="20"/>
              </w:rPr>
              <w:t>Decimal</w:t>
            </w:r>
            <w:r w:rsidRPr="00D56277">
              <w:rPr>
                <w:rFonts w:cs="Calibri"/>
              </w:rPr>
              <w:t xml:space="preserve"> no te deja perder precisión aunque quieras.</w:t>
            </w:r>
          </w:p>
        </w:tc>
      </w:tr>
    </w:tbl>
    <w:p w14:paraId="728EF2A8" w14:textId="77777777" w:rsidR="00D56277" w:rsidRDefault="00D56277" w:rsidP="00D56277">
      <w:pPr>
        <w:pStyle w:val="Ttulo2cap"/>
      </w:pPr>
      <w:bookmarkStart w:id="8" w:name="_Toc238750342"/>
      <w:r>
        <w:t>2.8. Los verbos y sus códigos</w:t>
      </w:r>
      <w:bookmarkEnd w:id="8"/>
    </w:p>
    <w:p w14:paraId="272CDCB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El TPI declara en su sección 6.1 qué verbo se usa para qué, y hay una decisión que conviene destacar porque contradice lo que se enseña habitualmente: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760CB9C1" w14:textId="77777777" w:rsidTr="00D56277">
        <w:tc>
          <w:tcPr>
            <w:tcW w:w="8494" w:type="dxa"/>
            <w:shd w:val="clear" w:color="EFEFEF" w:fill="EFEFEF"/>
          </w:tcPr>
          <w:p w14:paraId="02684ADD" w14:textId="613F072B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ascii="Consolas" w:hAnsi="Consolas" w:cs="Calibri"/>
                <w:sz w:val="20"/>
              </w:rPr>
              <w:t>POST</w:t>
            </w:r>
            <w:r w:rsidRPr="00D56277">
              <w:rPr>
                <w:rFonts w:cs="Calibri"/>
              </w:rPr>
              <w:t xml:space="preserve"> crea o ejecuta un comando, </w:t>
            </w:r>
            <w:r w:rsidRPr="00D56277">
              <w:rPr>
                <w:rFonts w:ascii="Consolas" w:hAnsi="Consolas" w:cs="Calibri"/>
                <w:sz w:val="20"/>
              </w:rPr>
              <w:t>GET</w:t>
            </w:r>
            <w:r w:rsidRPr="00D56277">
              <w:rPr>
                <w:rFonts w:cs="Calibri"/>
              </w:rPr>
              <w:t xml:space="preserve"> lee, </w:t>
            </w:r>
            <w:r w:rsidRPr="00D56277">
              <w:rPr>
                <w:rFonts w:ascii="Consolas" w:hAnsi="Consolas" w:cs="Calibri"/>
                <w:sz w:val="20"/>
              </w:rPr>
              <w:t>DELETE</w:t>
            </w:r>
            <w:r w:rsidRPr="00D56277">
              <w:rPr>
                <w:rFonts w:cs="Calibri"/>
              </w:rPr>
              <w:t xml:space="preserve"> borra. </w:t>
            </w:r>
            <w:r w:rsidRPr="00D56277">
              <w:rPr>
                <w:rFonts w:ascii="Consolas" w:hAnsi="Consolas" w:cs="Calibri"/>
                <w:b/>
                <w:sz w:val="20"/>
              </w:rPr>
              <w:t>PATCH</w:t>
            </w:r>
            <w:r w:rsidRPr="00D56277">
              <w:rPr>
                <w:rFonts w:cs="Calibri"/>
                <w:b/>
              </w:rPr>
              <w:t xml:space="preserve"> modifica de forma parcial y es el verbo de toda actualización. No se usa </w:t>
            </w:r>
            <w:r w:rsidRPr="00D56277">
              <w:rPr>
                <w:rFonts w:ascii="Consolas" w:hAnsi="Consolas" w:cs="Calibri"/>
                <w:b/>
                <w:sz w:val="20"/>
              </w:rPr>
              <w:t>PUT</w:t>
            </w:r>
            <w:r w:rsidRPr="00D56277">
              <w:rPr>
                <w:rFonts w:cs="Calibri"/>
                <w:b/>
              </w:rPr>
              <w:t>: ningún endpoint reemplaza el recurso completo.</w:t>
            </w:r>
          </w:p>
        </w:tc>
      </w:tr>
    </w:tbl>
    <w:p w14:paraId="2F31BA8C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lastRenderedPageBreak/>
        <w:t xml:space="preserve">La razón es coherente con la sección 2.6. </w:t>
      </w:r>
      <w:r w:rsidRPr="00D56277">
        <w:rPr>
          <w:rFonts w:ascii="Consolas" w:hAnsi="Consolas" w:cs="Calibri"/>
          <w:sz w:val="20"/>
        </w:rPr>
        <w:t>PUT</w:t>
      </w:r>
      <w:r w:rsidRPr="00D56277">
        <w:rPr>
          <w:rFonts w:cs="Calibri"/>
        </w:rPr>
        <w:t xml:space="preserve"> significa "reemplazá el recurso por esto", y por lo tanto exige mandarlo </w:t>
      </w:r>
      <w:r w:rsidRPr="00D56277">
        <w:rPr>
          <w:rFonts w:cs="Calibri"/>
          <w:b/>
        </w:rPr>
        <w:t>entero</w:t>
      </w:r>
      <w:r w:rsidRPr="00D56277">
        <w:rPr>
          <w:rFonts w:cs="Calibri"/>
        </w:rPr>
        <w:t xml:space="preserve">: si un campo falta, se borra. En una interfaz real casi nunca se manda todo, así que un </w:t>
      </w:r>
      <w:r w:rsidRPr="00D56277">
        <w:rPr>
          <w:rFonts w:ascii="Consolas" w:hAnsi="Consolas" w:cs="Calibri"/>
          <w:sz w:val="20"/>
        </w:rPr>
        <w:t>PUT</w:t>
      </w:r>
      <w:r w:rsidRPr="00D56277">
        <w:rPr>
          <w:rFonts w:cs="Calibri"/>
        </w:rPr>
        <w:t xml:space="preserve"> mal usado —mandando sólo lo que cambió— borra el resto. </w:t>
      </w:r>
      <w:r w:rsidRPr="00D56277">
        <w:rPr>
          <w:rFonts w:cs="Calibri"/>
          <w:b/>
        </w:rPr>
        <w:t>El TPI evita el problema quitando el verbo.</w:t>
      </w:r>
    </w:p>
    <w:p w14:paraId="05975A98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Y los códigos de estado, que el Capítulo 1 de la otra mitad de la cursada estudia desde el lado del cliente: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6277" w:rsidRPr="00D56277" w14:paraId="713141BC" w14:textId="77777777" w:rsidTr="00D56277">
        <w:tc>
          <w:tcPr>
            <w:tcW w:w="2831" w:type="dxa"/>
            <w:shd w:val="clear" w:color="D9E2F3" w:fill="D9E2F3"/>
          </w:tcPr>
          <w:p w14:paraId="3D288B94" w14:textId="25F40933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Situación</w:t>
            </w:r>
          </w:p>
        </w:tc>
        <w:tc>
          <w:tcPr>
            <w:tcW w:w="2831" w:type="dxa"/>
            <w:shd w:val="clear" w:color="D9E2F3" w:fill="D9E2F3"/>
          </w:tcPr>
          <w:p w14:paraId="577F760B" w14:textId="1E11A65F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Código</w:t>
            </w:r>
          </w:p>
        </w:tc>
        <w:tc>
          <w:tcPr>
            <w:tcW w:w="2832" w:type="dxa"/>
            <w:shd w:val="clear" w:color="D9E2F3" w:fill="D9E2F3"/>
          </w:tcPr>
          <w:p w14:paraId="4FE07690" w14:textId="262850DF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Detalle</w:t>
            </w:r>
          </w:p>
        </w:tc>
      </w:tr>
      <w:tr w:rsidR="00D56277" w:rsidRPr="00D56277" w14:paraId="7488A523" w14:textId="77777777" w:rsidTr="00D56277">
        <w:tc>
          <w:tcPr>
            <w:tcW w:w="2831" w:type="dxa"/>
          </w:tcPr>
          <w:p w14:paraId="09B3B7D2" w14:textId="73B343FD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Lectura exitosa</w:t>
            </w:r>
          </w:p>
        </w:tc>
        <w:tc>
          <w:tcPr>
            <w:tcW w:w="2831" w:type="dxa"/>
          </w:tcPr>
          <w:p w14:paraId="4E9FA3C4" w14:textId="3F443DF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200</w:t>
            </w:r>
          </w:p>
        </w:tc>
        <w:tc>
          <w:tcPr>
            <w:tcW w:w="2832" w:type="dxa"/>
          </w:tcPr>
          <w:p w14:paraId="5D5A840C" w14:textId="7777777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</w:p>
        </w:tc>
      </w:tr>
      <w:tr w:rsidR="00D56277" w:rsidRPr="00D56277" w14:paraId="297F8B36" w14:textId="77777777" w:rsidTr="00D56277">
        <w:tc>
          <w:tcPr>
            <w:tcW w:w="2831" w:type="dxa"/>
          </w:tcPr>
          <w:p w14:paraId="39341551" w14:textId="380A0CB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Creación exitosa</w:t>
            </w:r>
          </w:p>
        </w:tc>
        <w:tc>
          <w:tcPr>
            <w:tcW w:w="2831" w:type="dxa"/>
          </w:tcPr>
          <w:p w14:paraId="1E22A9F5" w14:textId="7496961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201</w:t>
            </w:r>
          </w:p>
        </w:tc>
        <w:tc>
          <w:tcPr>
            <w:tcW w:w="2832" w:type="dxa"/>
          </w:tcPr>
          <w:p w14:paraId="32DED434" w14:textId="50096A8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Con </w:t>
            </w:r>
            <w:r w:rsidRPr="00D56277">
              <w:rPr>
                <w:rFonts w:ascii="Consolas" w:hAnsi="Consolas" w:cs="Calibri"/>
                <w:sz w:val="20"/>
              </w:rPr>
              <w:t>Location</w:t>
            </w:r>
            <w:r w:rsidRPr="00D56277">
              <w:rPr>
                <w:rFonts w:cs="Calibri"/>
                <w:sz w:val="20"/>
              </w:rPr>
              <w:t xml:space="preserve"> apuntando al recurso creado</w:t>
            </w:r>
          </w:p>
        </w:tc>
      </w:tr>
      <w:tr w:rsidR="00D56277" w:rsidRPr="00D56277" w14:paraId="27C4D522" w14:textId="77777777" w:rsidTr="00D56277">
        <w:tc>
          <w:tcPr>
            <w:tcW w:w="2831" w:type="dxa"/>
          </w:tcPr>
          <w:p w14:paraId="1D0C5290" w14:textId="14491D28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Borrado exitoso</w:t>
            </w:r>
          </w:p>
        </w:tc>
        <w:tc>
          <w:tcPr>
            <w:tcW w:w="2831" w:type="dxa"/>
          </w:tcPr>
          <w:p w14:paraId="7CC81DC6" w14:textId="53F04605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204</w:t>
            </w:r>
          </w:p>
        </w:tc>
        <w:tc>
          <w:tcPr>
            <w:tcW w:w="2832" w:type="dxa"/>
          </w:tcPr>
          <w:p w14:paraId="242B2F5D" w14:textId="43BB1A63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Sin cuerpo</w:t>
            </w:r>
          </w:p>
        </w:tc>
      </w:tr>
      <w:tr w:rsidR="00D56277" w:rsidRPr="00D56277" w14:paraId="19FCAC6D" w14:textId="77777777" w:rsidTr="00D56277">
        <w:tc>
          <w:tcPr>
            <w:tcW w:w="2831" w:type="dxa"/>
          </w:tcPr>
          <w:p w14:paraId="453144BB" w14:textId="7BF0295E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Entrada inválida</w:t>
            </w:r>
          </w:p>
        </w:tc>
        <w:tc>
          <w:tcPr>
            <w:tcW w:w="2831" w:type="dxa"/>
          </w:tcPr>
          <w:p w14:paraId="0E268970" w14:textId="47700072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422</w:t>
            </w:r>
          </w:p>
        </w:tc>
        <w:tc>
          <w:tcPr>
            <w:tcW w:w="2832" w:type="dxa"/>
          </w:tcPr>
          <w:p w14:paraId="77733672" w14:textId="2ECDF4A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El de la sección 2.4</w:t>
            </w:r>
          </w:p>
        </w:tc>
      </w:tr>
      <w:tr w:rsidR="00D56277" w:rsidRPr="00D56277" w14:paraId="1DA31179" w14:textId="77777777" w:rsidTr="00D56277">
        <w:tc>
          <w:tcPr>
            <w:tcW w:w="2831" w:type="dxa"/>
          </w:tcPr>
          <w:p w14:paraId="0D6F9290" w14:textId="2E2F58F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No autenticado</w:t>
            </w:r>
          </w:p>
        </w:tc>
        <w:tc>
          <w:tcPr>
            <w:tcW w:w="2831" w:type="dxa"/>
          </w:tcPr>
          <w:p w14:paraId="0C56644D" w14:textId="69752C09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401</w:t>
            </w:r>
          </w:p>
        </w:tc>
        <w:tc>
          <w:tcPr>
            <w:tcW w:w="2832" w:type="dxa"/>
          </w:tcPr>
          <w:p w14:paraId="6952841C" w14:textId="4F273E78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Falta la credencial o no vale</w:t>
            </w:r>
          </w:p>
        </w:tc>
      </w:tr>
      <w:tr w:rsidR="00D56277" w:rsidRPr="00D56277" w14:paraId="39AC8B20" w14:textId="77777777" w:rsidTr="00D56277">
        <w:tc>
          <w:tcPr>
            <w:tcW w:w="2831" w:type="dxa"/>
          </w:tcPr>
          <w:p w14:paraId="13E206A2" w14:textId="2F945C55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Autenticado sin permiso</w:t>
            </w:r>
          </w:p>
        </w:tc>
        <w:tc>
          <w:tcPr>
            <w:tcW w:w="2831" w:type="dxa"/>
          </w:tcPr>
          <w:p w14:paraId="612526C1" w14:textId="69A70171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403</w:t>
            </w:r>
          </w:p>
        </w:tc>
        <w:tc>
          <w:tcPr>
            <w:tcW w:w="2832" w:type="dxa"/>
          </w:tcPr>
          <w:p w14:paraId="694C92E7" w14:textId="46EF40B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La credencial vale, el rol no alcanza</w:t>
            </w:r>
          </w:p>
        </w:tc>
      </w:tr>
      <w:tr w:rsidR="00D56277" w:rsidRPr="00D56277" w14:paraId="24287548" w14:textId="77777777" w:rsidTr="00D56277">
        <w:tc>
          <w:tcPr>
            <w:tcW w:w="2831" w:type="dxa"/>
          </w:tcPr>
          <w:p w14:paraId="2B6210FC" w14:textId="63927F33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No existe</w:t>
            </w:r>
          </w:p>
        </w:tc>
        <w:tc>
          <w:tcPr>
            <w:tcW w:w="2831" w:type="dxa"/>
          </w:tcPr>
          <w:p w14:paraId="6C325C86" w14:textId="0626B5C0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404</w:t>
            </w:r>
          </w:p>
        </w:tc>
        <w:tc>
          <w:tcPr>
            <w:tcW w:w="2832" w:type="dxa"/>
          </w:tcPr>
          <w:p w14:paraId="63147DBC" w14:textId="77777777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</w:p>
        </w:tc>
      </w:tr>
      <w:tr w:rsidR="00D56277" w:rsidRPr="00D56277" w14:paraId="47731B88" w14:textId="77777777" w:rsidTr="00D56277">
        <w:tc>
          <w:tcPr>
            <w:tcW w:w="2831" w:type="dxa"/>
          </w:tcPr>
          <w:p w14:paraId="3F2818C8" w14:textId="161741A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Conflicto de estado</w:t>
            </w:r>
          </w:p>
        </w:tc>
        <w:tc>
          <w:tcPr>
            <w:tcW w:w="2831" w:type="dxa"/>
          </w:tcPr>
          <w:p w14:paraId="004B9165" w14:textId="153E27F1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ascii="Consolas" w:hAnsi="Consolas" w:cs="Calibri"/>
                <w:sz w:val="20"/>
              </w:rPr>
              <w:t>409</w:t>
            </w:r>
          </w:p>
        </w:tc>
        <w:tc>
          <w:tcPr>
            <w:tcW w:w="2832" w:type="dxa"/>
          </w:tcPr>
          <w:p w14:paraId="6E156FE8" w14:textId="0C8F0998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Por ejemplo, stock insuficiente</w:t>
            </w:r>
          </w:p>
        </w:tc>
      </w:tr>
    </w:tbl>
    <w:p w14:paraId="5EDF99FC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distinción entre </w:t>
      </w:r>
      <w:r w:rsidRPr="00D56277">
        <w:rPr>
          <w:rFonts w:ascii="Consolas" w:hAnsi="Consolas" w:cs="Calibri"/>
          <w:sz w:val="20"/>
        </w:rPr>
        <w:t>401</w:t>
      </w:r>
      <w:r w:rsidRPr="00D56277">
        <w:rPr>
          <w:rFonts w:cs="Calibri"/>
        </w:rPr>
        <w:t xml:space="preserve"> y </w:t>
      </w:r>
      <w:r w:rsidRPr="00D56277">
        <w:rPr>
          <w:rFonts w:ascii="Consolas" w:hAnsi="Consolas" w:cs="Calibri"/>
          <w:sz w:val="20"/>
        </w:rPr>
        <w:t>403</w:t>
      </w:r>
      <w:r w:rsidRPr="00D56277">
        <w:rPr>
          <w:rFonts w:cs="Calibri"/>
        </w:rPr>
        <w:t xml:space="preserve"> merece énfasis porque se maltrata todo el tiempo: </w:t>
      </w:r>
      <w:r w:rsidRPr="00D56277">
        <w:rPr>
          <w:rFonts w:ascii="Consolas" w:hAnsi="Consolas" w:cs="Calibri"/>
          <w:b/>
          <w:sz w:val="20"/>
        </w:rPr>
        <w:t>401</w:t>
      </w:r>
      <w:r w:rsidRPr="00D56277">
        <w:rPr>
          <w:rFonts w:cs="Calibri"/>
          <w:b/>
        </w:rPr>
        <w:t xml:space="preserve"> dice "no sé quién sos"; </w:t>
      </w:r>
      <w:r w:rsidRPr="00D56277">
        <w:rPr>
          <w:rFonts w:ascii="Consolas" w:hAnsi="Consolas" w:cs="Calibri"/>
          <w:b/>
          <w:sz w:val="20"/>
        </w:rPr>
        <w:t>403</w:t>
      </w:r>
      <w:r w:rsidRPr="00D56277">
        <w:rPr>
          <w:rFonts w:cs="Calibri"/>
          <w:b/>
        </w:rPr>
        <w:t xml:space="preserve"> dice "sé quién sos y no te alcanza".</w:t>
      </w:r>
      <w:r w:rsidRPr="00D56277">
        <w:rPr>
          <w:rFonts w:cs="Calibri"/>
        </w:rPr>
        <w:t xml:space="preserve"> Un cliente que los trata igual manda al login a alguien que ya inició sesión.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1354FBBC" w14:textId="77777777" w:rsidTr="00D56277">
        <w:tc>
          <w:tcPr>
            <w:tcW w:w="8494" w:type="dxa"/>
            <w:shd w:val="clear" w:color="EFEFEF" w:fill="EFEFEF"/>
          </w:tcPr>
          <w:p w14:paraId="391FC853" w14:textId="5B99D8BD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595959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D56277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</w:tc>
      </w:tr>
      <w:tr w:rsidR="00D56277" w:rsidRPr="00D56277" w14:paraId="3C72D917" w14:textId="77777777" w:rsidTr="00D56277">
        <w:tc>
          <w:tcPr>
            <w:tcW w:w="8494" w:type="dxa"/>
            <w:shd w:val="clear" w:color="EFEFEF" w:fill="EFEFEF"/>
          </w:tcPr>
          <w:p w14:paraId="3E4A1E22" w14:textId="381CA207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Sobre el </w:t>
            </w:r>
            <w:r w:rsidRPr="00D56277">
              <w:rPr>
                <w:rFonts w:ascii="Consolas" w:hAnsi="Consolas" w:cs="Calibri"/>
                <w:sz w:val="20"/>
              </w:rPr>
              <w:t>201</w:t>
            </w:r>
            <w:r w:rsidRPr="00D56277">
              <w:rPr>
                <w:rFonts w:cs="Calibri"/>
              </w:rPr>
              <w:t xml:space="preserve"> hay un detalle que casi nadie pone y el TPI sí pide: </w:t>
            </w:r>
            <w:r w:rsidRPr="00D56277">
              <w:rPr>
                <w:rFonts w:cs="Calibri"/>
                <w:b/>
              </w:rPr>
              <w:t xml:space="preserve">el encabezado </w:t>
            </w:r>
            <w:r w:rsidRPr="00D56277">
              <w:rPr>
                <w:rFonts w:ascii="Consolas" w:hAnsi="Consolas" w:cs="Calibri"/>
                <w:b/>
                <w:sz w:val="20"/>
              </w:rPr>
              <w:t>Location</w:t>
            </w:r>
            <w:r w:rsidRPr="00D56277">
              <w:rPr>
                <w:rFonts w:cs="Calibri"/>
                <w:b/>
              </w:rPr>
              <w:t>.</w:t>
            </w:r>
          </w:p>
        </w:tc>
      </w:tr>
      <w:tr w:rsidR="00D56277" w:rsidRPr="00D56277" w14:paraId="02786F0A" w14:textId="77777777" w:rsidTr="00D56277">
        <w:tc>
          <w:tcPr>
            <w:tcW w:w="8494" w:type="dxa"/>
            <w:shd w:val="clear" w:color="EFEFEF" w:fill="EFEFEF"/>
          </w:tcPr>
          <w:p w14:paraId="1CFF1FEC" w14:textId="3D80B871" w:rsidR="00D56277" w:rsidRPr="00D56277" w:rsidRDefault="00D56277" w:rsidP="00D56277">
            <w:pPr>
              <w:pStyle w:val="Bloquedecdigo"/>
              <w:spacing w:before="0" w:after="100"/>
              <w:ind w:left="0" w:right="0"/>
            </w:pPr>
            <w:r w:rsidRPr="00D56277">
              <w:t>@app.post("/productos", status_code=201)</w:t>
            </w:r>
            <w:r w:rsidRPr="00D56277">
              <w:br/>
              <w:t>async def crear_producto(datos: ProductoCreate, response: Response):</w:t>
            </w:r>
            <w:r w:rsidRPr="00D56277">
              <w:br/>
              <w:t xml:space="preserve">    producto = _crear(datos)</w:t>
            </w:r>
            <w:r w:rsidRPr="00D56277">
              <w:br/>
              <w:t xml:space="preserve">    response.headers["Location"] = f"/api/v1/productos/{producto.id}"</w:t>
            </w:r>
            <w:r w:rsidRPr="00D56277">
              <w:br/>
              <w:t xml:space="preserve">    return producto</w:t>
            </w:r>
          </w:p>
        </w:tc>
      </w:tr>
      <w:tr w:rsidR="00D56277" w:rsidRPr="00D56277" w14:paraId="353C9E22" w14:textId="77777777" w:rsidTr="00D56277">
        <w:tc>
          <w:tcPr>
            <w:tcW w:w="8494" w:type="dxa"/>
            <w:shd w:val="clear" w:color="EFEFEF" w:fill="EFEFEF"/>
          </w:tcPr>
          <w:p w14:paraId="61487EFD" w14:textId="0E308EF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¿Para qué sirve? Para que el cliente sepa </w:t>
            </w:r>
            <w:r w:rsidRPr="00D56277">
              <w:rPr>
                <w:rFonts w:cs="Calibri"/>
                <w:b/>
              </w:rPr>
              <w:t>dónde quedó</w:t>
            </w:r>
            <w:r w:rsidRPr="00D56277">
              <w:rPr>
                <w:rFonts w:cs="Calibri"/>
              </w:rPr>
              <w:t xml:space="preserve"> lo que acaba de crear, sin tener que armar la URL por su cuenta adivinando el formato.</w:t>
            </w:r>
          </w:p>
        </w:tc>
      </w:tr>
      <w:tr w:rsidR="00D56277" w:rsidRPr="00D56277" w14:paraId="08926F2F" w14:textId="77777777" w:rsidTr="00D56277">
        <w:tc>
          <w:tcPr>
            <w:tcW w:w="8494" w:type="dxa"/>
            <w:shd w:val="clear" w:color="EFEFEF" w:fill="EFEFEF"/>
          </w:tcPr>
          <w:p w14:paraId="718B503F" w14:textId="77EA1B68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Parece poco. Pero fijate el efecto: si mañana las rutas cambian de </w:t>
            </w:r>
            <w:r w:rsidRPr="00D56277">
              <w:rPr>
                <w:rFonts w:ascii="Consolas" w:hAnsi="Consolas" w:cs="Calibri"/>
                <w:sz w:val="20"/>
              </w:rPr>
              <w:t>/productos/{id}</w:t>
            </w:r>
            <w:r w:rsidRPr="00D56277">
              <w:rPr>
                <w:rFonts w:cs="Calibri"/>
              </w:rPr>
              <w:t xml:space="preserve"> a </w:t>
            </w:r>
            <w:r w:rsidRPr="00D56277">
              <w:rPr>
                <w:rFonts w:ascii="Consolas" w:hAnsi="Consolas" w:cs="Calibri"/>
                <w:sz w:val="20"/>
              </w:rPr>
              <w:t>/catalogo/productos/{id}</w:t>
            </w:r>
            <w:r w:rsidRPr="00D56277">
              <w:rPr>
                <w:rFonts w:cs="Calibri"/>
              </w:rPr>
              <w:t xml:space="preserve">, un cliente que usa </w:t>
            </w:r>
            <w:r w:rsidRPr="00D56277">
              <w:rPr>
                <w:rFonts w:ascii="Consolas" w:hAnsi="Consolas" w:cs="Calibri"/>
                <w:sz w:val="20"/>
              </w:rPr>
              <w:t>Location</w:t>
            </w:r>
            <w:r w:rsidRPr="00D56277">
              <w:rPr>
                <w:rFonts w:cs="Calibri"/>
              </w:rPr>
              <w:t xml:space="preserve"> sigue funcionando. Uno que arma la URL a mano, no.</w:t>
            </w:r>
          </w:p>
        </w:tc>
      </w:tr>
      <w:tr w:rsidR="00D56277" w:rsidRPr="00D56277" w14:paraId="09960711" w14:textId="77777777" w:rsidTr="00D56277">
        <w:tc>
          <w:tcPr>
            <w:tcW w:w="8494" w:type="dxa"/>
            <w:shd w:val="clear" w:color="EFEFEF" w:fill="EFEFEF"/>
          </w:tcPr>
          <w:p w14:paraId="74C01FEF" w14:textId="6B2A580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Es el mismo principio de todo el capítulo: </w:t>
            </w:r>
            <w:r w:rsidRPr="00D56277">
              <w:rPr>
                <w:rFonts w:cs="Calibri"/>
                <w:b/>
              </w:rPr>
              <w:t>cuanto menos tenga que adivinar el cliente, menos se puede romper.</w:t>
            </w:r>
          </w:p>
        </w:tc>
      </w:tr>
    </w:tbl>
    <w:p w14:paraId="19E1B0DE" w14:textId="77777777" w:rsidR="00D56277" w:rsidRDefault="00D56277" w:rsidP="00D56277">
      <w:pPr>
        <w:pStyle w:val="Ttulo2cap"/>
      </w:pPr>
      <w:bookmarkStart w:id="9" w:name="_Toc238750343"/>
      <w:r>
        <w:t>2.9. Colecciones: envoltorio, paginación y ordenamiento</w:t>
      </w:r>
      <w:bookmarkEnd w:id="9"/>
    </w:p>
    <w:p w14:paraId="10EE2BD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Devolver una lista suelta funciona hasta que la lista crece. El TPI lo resuelve con una convención declarada: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5418E4D0" w14:textId="77777777" w:rsidTr="00D56277">
        <w:tc>
          <w:tcPr>
            <w:tcW w:w="8494" w:type="dxa"/>
            <w:shd w:val="clear" w:color="EFEFEF" w:fill="EFEFEF"/>
          </w:tcPr>
          <w:p w14:paraId="4316932C" w14:textId="5A0ED3A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Toda colección cuyo tamaño puede crecer con el uso devuelve el envoltorio </w:t>
            </w:r>
            <w:r w:rsidRPr="00D56277">
              <w:rPr>
                <w:rFonts w:ascii="Consolas" w:hAnsi="Consolas" w:cs="Calibri"/>
                <w:b/>
                <w:sz w:val="20"/>
              </w:rPr>
              <w:t>{ items, total, page, size, pages }</w:t>
            </w:r>
            <w:r w:rsidRPr="00D56277">
              <w:rPr>
                <w:rFonts w:cs="Calibri"/>
              </w:rPr>
              <w:t>.</w:t>
            </w:r>
          </w:p>
        </w:tc>
      </w:tr>
    </w:tbl>
    <w:p w14:paraId="3ED8D6C8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lastRenderedPageBreak/>
        <w:t xml:space="preserve">Los cuatro campos que acompañan a </w:t>
      </w:r>
      <w:r w:rsidRPr="00D56277">
        <w:rPr>
          <w:rFonts w:ascii="Consolas" w:hAnsi="Consolas" w:cs="Calibri"/>
          <w:sz w:val="20"/>
        </w:rPr>
        <w:t>items</w:t>
      </w:r>
      <w:r w:rsidRPr="00D56277">
        <w:rPr>
          <w:rFonts w:cs="Calibri"/>
        </w:rPr>
        <w:t xml:space="preserve"> son los que el cliente necesita para dibujar un paginador, y no se pueden deducir de la lista: </w:t>
      </w:r>
      <w:r w:rsidRPr="00D56277">
        <w:rPr>
          <w:rFonts w:cs="Calibri"/>
          <w:b/>
        </w:rPr>
        <w:t>cuántos hay en total, en qué página está, de qué tamaño, y cuántas páginas hay.</w:t>
      </w:r>
    </w:p>
    <w:p w14:paraId="6EF8343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Las reglas de paginación del TPI:</w:t>
      </w:r>
    </w:p>
    <w:tbl>
      <w:tblPr>
        <w:tblStyle w:val="Tablaconcuadrcula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56277" w:rsidRPr="00D56277" w14:paraId="0A60AE72" w14:textId="77777777" w:rsidTr="00D56277">
        <w:tc>
          <w:tcPr>
            <w:tcW w:w="4247" w:type="dxa"/>
            <w:shd w:val="clear" w:color="D9E2F3" w:fill="D9E2F3"/>
          </w:tcPr>
          <w:p w14:paraId="332DDE01" w14:textId="493590C0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Regla</w:t>
            </w:r>
          </w:p>
        </w:tc>
        <w:tc>
          <w:tcPr>
            <w:tcW w:w="4247" w:type="dxa"/>
            <w:shd w:val="clear" w:color="D9E2F3" w:fill="D9E2F3"/>
          </w:tcPr>
          <w:p w14:paraId="01AAA3F5" w14:textId="26FF01B9" w:rsidR="00D56277" w:rsidRPr="00D56277" w:rsidRDefault="00D56277" w:rsidP="00D56277">
            <w:pPr>
              <w:pStyle w:val="Cuerpocap"/>
              <w:rPr>
                <w:rFonts w:cs="Calibri"/>
                <w:b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Valor</w:t>
            </w:r>
          </w:p>
        </w:tc>
      </w:tr>
      <w:tr w:rsidR="00D56277" w:rsidRPr="00D56277" w14:paraId="229DCA5E" w14:textId="77777777" w:rsidTr="00D56277">
        <w:tc>
          <w:tcPr>
            <w:tcW w:w="4247" w:type="dxa"/>
          </w:tcPr>
          <w:p w14:paraId="3A1106FC" w14:textId="1FF1E63C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Tamaño por defecto</w:t>
            </w:r>
          </w:p>
        </w:tc>
        <w:tc>
          <w:tcPr>
            <w:tcW w:w="4247" w:type="dxa"/>
          </w:tcPr>
          <w:p w14:paraId="3A45CB87" w14:textId="1E1A3EFA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20</w:t>
            </w:r>
          </w:p>
        </w:tc>
      </w:tr>
      <w:tr w:rsidR="00D56277" w:rsidRPr="00D56277" w14:paraId="69352543" w14:textId="77777777" w:rsidTr="00D56277">
        <w:tc>
          <w:tcPr>
            <w:tcW w:w="4247" w:type="dxa"/>
          </w:tcPr>
          <w:p w14:paraId="1A694733" w14:textId="6FEEB29E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Tamaño máximo</w:t>
            </w:r>
          </w:p>
        </w:tc>
        <w:tc>
          <w:tcPr>
            <w:tcW w:w="4247" w:type="dxa"/>
          </w:tcPr>
          <w:p w14:paraId="53DD3B34" w14:textId="33474146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100</w:t>
            </w:r>
          </w:p>
        </w:tc>
      </w:tr>
      <w:tr w:rsidR="00D56277" w:rsidRPr="00D56277" w14:paraId="668305B3" w14:textId="77777777" w:rsidTr="00D56277">
        <w:tc>
          <w:tcPr>
            <w:tcW w:w="4247" w:type="dxa"/>
          </w:tcPr>
          <w:p w14:paraId="36E36058" w14:textId="4F9FE73B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>Página máxima</w:t>
            </w:r>
          </w:p>
        </w:tc>
        <w:tc>
          <w:tcPr>
            <w:tcW w:w="4247" w:type="dxa"/>
          </w:tcPr>
          <w:p w14:paraId="4BF3E41D" w14:textId="4476A33E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El </w:t>
            </w:r>
            <w:r w:rsidRPr="00D56277">
              <w:rPr>
                <w:rFonts w:ascii="Consolas" w:hAnsi="Consolas" w:cs="Calibri"/>
                <w:sz w:val="20"/>
              </w:rPr>
              <w:t>pages</w:t>
            </w:r>
            <w:r w:rsidRPr="00D56277">
              <w:rPr>
                <w:rFonts w:cs="Calibri"/>
                <w:sz w:val="20"/>
              </w:rPr>
              <w:t xml:space="preserve"> de esa consulta; más allá responde </w:t>
            </w:r>
            <w:r w:rsidRPr="00D56277">
              <w:rPr>
                <w:rFonts w:ascii="Consolas" w:hAnsi="Consolas" w:cs="Calibri"/>
                <w:b/>
                <w:sz w:val="20"/>
              </w:rPr>
              <w:t>422</w:t>
            </w:r>
          </w:p>
        </w:tc>
      </w:tr>
      <w:tr w:rsidR="00D56277" w:rsidRPr="00D56277" w14:paraId="572889A6" w14:textId="77777777" w:rsidTr="00D56277">
        <w:tc>
          <w:tcPr>
            <w:tcW w:w="4247" w:type="dxa"/>
          </w:tcPr>
          <w:p w14:paraId="4B7E83B6" w14:textId="16614F14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sz w:val="20"/>
              </w:rPr>
              <w:t xml:space="preserve">El </w:t>
            </w:r>
            <w:r w:rsidRPr="00D56277">
              <w:rPr>
                <w:rFonts w:ascii="Consolas" w:hAnsi="Consolas" w:cs="Calibri"/>
                <w:sz w:val="20"/>
              </w:rPr>
              <w:t>total</w:t>
            </w:r>
          </w:p>
        </w:tc>
        <w:tc>
          <w:tcPr>
            <w:tcW w:w="4247" w:type="dxa"/>
          </w:tcPr>
          <w:p w14:paraId="4F8FB53B" w14:textId="2E2365AB" w:rsidR="00D56277" w:rsidRPr="00D56277" w:rsidRDefault="00D56277" w:rsidP="00D56277">
            <w:pPr>
              <w:pStyle w:val="Cuerpocap"/>
              <w:rPr>
                <w:rFonts w:cs="Calibri"/>
                <w:sz w:val="20"/>
              </w:rPr>
            </w:pPr>
            <w:r w:rsidRPr="00D56277">
              <w:rPr>
                <w:rFonts w:cs="Calibri"/>
                <w:b/>
                <w:sz w:val="20"/>
              </w:rPr>
              <w:t>Respeta los filtros activos</w:t>
            </w:r>
          </w:p>
        </w:tc>
      </w:tr>
    </w:tbl>
    <w:p w14:paraId="49FEFA5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Dos de esas filas son decisiones y no detalles.</w:t>
      </w:r>
    </w:p>
    <w:p w14:paraId="38F0812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El tamaño máximo existe para protegerse.</w:t>
      </w:r>
      <w:r w:rsidRPr="00D56277">
        <w:rPr>
          <w:rFonts w:cs="Calibri"/>
        </w:rPr>
        <w:t xml:space="preserve"> Sin él, un cliente puede pedir un millón de registros y el servidor intenta cumplir: arma la consulta, la trae a memoria, la serializa. No hace falta mala intención —alcanza con un error de tipeo— y el efecto es el mismo que un ataque.</w:t>
      </w:r>
    </w:p>
    <w:p w14:paraId="644DF518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El </w:t>
      </w:r>
      <w:r w:rsidRPr="00D56277">
        <w:rPr>
          <w:rFonts w:ascii="Consolas" w:hAnsi="Consolas" w:cs="Calibri"/>
          <w:b/>
          <w:sz w:val="20"/>
        </w:rPr>
        <w:t>total</w:t>
      </w:r>
      <w:r w:rsidRPr="00D56277">
        <w:rPr>
          <w:rFonts w:cs="Calibri"/>
          <w:b/>
        </w:rPr>
        <w:t xml:space="preserve"> respeta los filtros.</w:t>
      </w:r>
      <w:r w:rsidRPr="00D56277">
        <w:rPr>
          <w:rFonts w:cs="Calibri"/>
        </w:rPr>
        <w:t xml:space="preserve"> Si hay un filtro por categoría, el total es el de esa categoría y no el de la tabla. Suena obvio y se equivoca seguido, porque calcular el total sin filtros es más fácil.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5AEFC29E" w14:textId="77777777" w:rsidTr="00D56277">
        <w:tc>
          <w:tcPr>
            <w:tcW w:w="8494" w:type="dxa"/>
            <w:shd w:val="clear" w:color="FDECEA" w:fill="FDECEA"/>
          </w:tcPr>
          <w:p w14:paraId="7F7C344F" w14:textId="6C82CFB4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C00000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56277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</w:tc>
      </w:tr>
      <w:tr w:rsidR="00D56277" w:rsidRPr="00D56277" w14:paraId="0CBE31BA" w14:textId="77777777" w:rsidTr="00D56277">
        <w:tc>
          <w:tcPr>
            <w:tcW w:w="8494" w:type="dxa"/>
            <w:shd w:val="clear" w:color="FDECEA" w:fill="FDECEA"/>
          </w:tcPr>
          <w:p w14:paraId="3B0A146B" w14:textId="71670C72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El bug del total sin filtrar es de los que llegan a producción y nadie reporta como bug, porque </w:t>
            </w:r>
            <w:r w:rsidRPr="00D56277">
              <w:rPr>
                <w:rFonts w:cs="Calibri"/>
                <w:b/>
              </w:rPr>
              <w:t>el sistema no falla: miente despacio.</w:t>
            </w:r>
          </w:p>
        </w:tc>
      </w:tr>
      <w:tr w:rsidR="00D56277" w:rsidRPr="00D56277" w14:paraId="7BEE1DB2" w14:textId="77777777" w:rsidTr="00D56277">
        <w:tc>
          <w:tcPr>
            <w:tcW w:w="8494" w:type="dxa"/>
            <w:shd w:val="clear" w:color="FDECEA" w:fill="FDECEA"/>
          </w:tcPr>
          <w:p w14:paraId="778672C6" w14:textId="19556C86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El usuario filtra por "Empanadas", ve 8 productos en pantalla, y el paginador le dice </w:t>
            </w:r>
            <w:r w:rsidRPr="00D56277">
              <w:rPr>
                <w:rFonts w:cs="Calibri"/>
                <w:b/>
              </w:rPr>
              <w:t>"1 de 12 páginas"</w:t>
            </w:r>
            <w:r w:rsidRPr="00D56277">
              <w:rPr>
                <w:rFonts w:cs="Calibri"/>
              </w:rPr>
              <w:t>. Hace clic en la página 2 y no hay nada. Vuelve, prueba la 3, tampoco.</w:t>
            </w:r>
          </w:p>
        </w:tc>
      </w:tr>
      <w:tr w:rsidR="00D56277" w:rsidRPr="00D56277" w14:paraId="1940CE9B" w14:textId="77777777" w:rsidTr="00D56277">
        <w:tc>
          <w:tcPr>
            <w:tcW w:w="8494" w:type="dxa"/>
            <w:shd w:val="clear" w:color="FDECEA" w:fill="FDECEA"/>
          </w:tcPr>
          <w:p w14:paraId="78F63AF5" w14:textId="7D3114F0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No hay error, no hay excepción, no hay nada en los logs. Simplemente el paginador está contando los 240 productos de la tabla en vez de los 8 que cumplen el filtro.</w:t>
            </w:r>
          </w:p>
        </w:tc>
      </w:tr>
      <w:tr w:rsidR="00D56277" w:rsidRPr="00D56277" w14:paraId="299A507D" w14:textId="77777777" w:rsidTr="00D56277">
        <w:tc>
          <w:tcPr>
            <w:tcW w:w="8494" w:type="dxa"/>
            <w:shd w:val="clear" w:color="FDECEA" w:fill="FDECEA"/>
          </w:tcPr>
          <w:p w14:paraId="6642BEB0" w14:textId="5EFD273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La causa es siempre la misma y es la vía fácil: se arma la consulta con filtros para traer los ítems, y el conteo se hace aparte </w:t>
            </w:r>
            <w:r w:rsidRPr="00D56277">
              <w:rPr>
                <w:rFonts w:cs="Calibri"/>
                <w:b/>
              </w:rPr>
              <w:t>sobre la tabla entera</w:t>
            </w:r>
            <w:r w:rsidRPr="00D56277">
              <w:rPr>
                <w:rFonts w:cs="Calibri"/>
              </w:rPr>
              <w:t xml:space="preserve"> porque es una línea más corta.</w:t>
            </w:r>
          </w:p>
        </w:tc>
      </w:tr>
      <w:tr w:rsidR="00D56277" w:rsidRPr="00D56277" w14:paraId="68D5C8BC" w14:textId="77777777" w:rsidTr="00D56277">
        <w:tc>
          <w:tcPr>
            <w:tcW w:w="8494" w:type="dxa"/>
            <w:shd w:val="clear" w:color="FDECEA" w:fill="FDECEA"/>
          </w:tcPr>
          <w:p w14:paraId="200E8A21" w14:textId="30D6FFF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Regla: el conteo y la búsqueda salen de la misma consulta filtrada.</w:t>
            </w:r>
            <w:r w:rsidRPr="00D56277">
              <w:rPr>
                <w:rFonts w:cs="Calibri"/>
              </w:rPr>
              <w:t xml:space="preserve"> Si escribís dos consultas distintas, la segunda tiene que llevar exactamente los mismos filtros que la primera.</w:t>
            </w:r>
          </w:p>
        </w:tc>
      </w:tr>
    </w:tbl>
    <w:p w14:paraId="0BE2883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Para el orden, el TPI usa una convención compacta: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040F99BA" w14:textId="77777777" w:rsidTr="00D56277">
        <w:tc>
          <w:tcPr>
            <w:tcW w:w="8494" w:type="dxa"/>
            <w:shd w:val="clear" w:color="EFEFEF" w:fill="EFEFEF"/>
          </w:tcPr>
          <w:p w14:paraId="39BC337A" w14:textId="6589363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Parámetro </w:t>
            </w:r>
            <w:r w:rsidRPr="00D56277">
              <w:rPr>
                <w:rFonts w:ascii="Consolas" w:hAnsi="Consolas" w:cs="Calibri"/>
                <w:sz w:val="20"/>
              </w:rPr>
              <w:t>sort</w:t>
            </w:r>
            <w:r w:rsidRPr="00D56277">
              <w:rPr>
                <w:rFonts w:cs="Calibri"/>
              </w:rPr>
              <w:t xml:space="preserve"> con el nombre del campo, </w:t>
            </w:r>
            <w:r w:rsidRPr="00D56277">
              <w:rPr>
                <w:rFonts w:cs="Calibri"/>
                <w:b/>
              </w:rPr>
              <w:t>precedido de un guion para orden descendente</w:t>
            </w:r>
            <w:r w:rsidRPr="00D56277">
              <w:rPr>
                <w:rFonts w:cs="Calibri"/>
              </w:rPr>
              <w:t>.</w:t>
            </w:r>
          </w:p>
        </w:tc>
      </w:tr>
    </w:tbl>
    <w:p w14:paraId="3C1A5056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Así, </w:t>
      </w:r>
      <w:r w:rsidRPr="00D56277">
        <w:rPr>
          <w:rFonts w:ascii="Consolas" w:hAnsi="Consolas" w:cs="Calibri"/>
          <w:sz w:val="20"/>
        </w:rPr>
        <w:t>sort=nombre</w:t>
      </w:r>
      <w:r w:rsidRPr="00D56277">
        <w:rPr>
          <w:rFonts w:cs="Calibri"/>
        </w:rPr>
        <w:t xml:space="preserve"> ordena ascendente y </w:t>
      </w:r>
      <w:r w:rsidRPr="00D56277">
        <w:rPr>
          <w:rFonts w:ascii="Consolas" w:hAnsi="Consolas" w:cs="Calibri"/>
          <w:sz w:val="20"/>
        </w:rPr>
        <w:t>sort=-creado_en</w:t>
      </w:r>
      <w:r w:rsidRPr="00D56277">
        <w:rPr>
          <w:rFonts w:cs="Calibri"/>
        </w:rPr>
        <w:t xml:space="preserve"> descendente. Y cada endpoint </w:t>
      </w:r>
      <w:r w:rsidRPr="00D56277">
        <w:rPr>
          <w:rFonts w:cs="Calibri"/>
          <w:b/>
        </w:rPr>
        <w:t>declara en su tabla qué campos son ordenables</w:t>
      </w:r>
      <w:r w:rsidRPr="00D56277">
        <w:rPr>
          <w:rFonts w:cs="Calibri"/>
        </w:rPr>
        <w:t>, lo que no es un detalle de comodidad: aceptar un nombre de campo arbitrario del cliente y meterlo en una consulta es exactamente la puerta que la sección 2.13 estudia.</w:t>
      </w:r>
    </w:p>
    <w:p w14:paraId="62768FC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Los parámetros de consulta se declaran como los demás, y por lo tanto </w:t>
      </w:r>
      <w:r w:rsidRPr="00D56277">
        <w:rPr>
          <w:rFonts w:cs="Calibri"/>
          <w:b/>
        </w:rPr>
        <w:t>se validan igual</w:t>
      </w:r>
      <w:r w:rsidRPr="00D56277">
        <w:rPr>
          <w:rFonts w:cs="Calibri"/>
        </w:rPr>
        <w:t>:</w:t>
      </w:r>
    </w:p>
    <w:p w14:paraId="0AD7A023" w14:textId="77777777" w:rsidR="00D56277" w:rsidRDefault="00D56277" w:rsidP="00D56277">
      <w:pPr>
        <w:pStyle w:val="Bloquedecdigo"/>
      </w:pPr>
      <w:r w:rsidRPr="00D56277">
        <w:lastRenderedPageBreak/>
        <w:t>@app.get("/productos", response_model=Pagina[ProductoPublic])</w:t>
      </w:r>
      <w:r w:rsidRPr="00D56277">
        <w:br/>
        <w:t>async def listar_productos(</w:t>
      </w:r>
      <w:r w:rsidRPr="00D56277">
        <w:br/>
        <w:t xml:space="preserve">    page: Annotated[int, Query(ge=1)] = 1,</w:t>
      </w:r>
      <w:r w:rsidRPr="00D56277">
        <w:br/>
        <w:t xml:space="preserve">    size: Annotated[int, Query(ge=1, le=100)] = 20,</w:t>
      </w:r>
      <w:r w:rsidRPr="00D56277">
        <w:br/>
        <w:t xml:space="preserve">    sort: Annotated[str | None, Query(pattern=r"^-?(nombre|precio|creado_en)$")] = None,</w:t>
      </w:r>
      <w:r w:rsidRPr="00D56277">
        <w:br/>
        <w:t xml:space="preserve">    categoria_id: Annotated[int | None, Query(gt=0)] = None,</w:t>
      </w:r>
      <w:r w:rsidRPr="00D56277">
        <w:br/>
        <w:t xml:space="preserve">    q: Annotated[str | None, Query(min_length=2, max_length=80)] = None,</w:t>
      </w:r>
      <w:r w:rsidRPr="00D56277">
        <w:br/>
        <w:t>):</w:t>
      </w:r>
      <w:r w:rsidRPr="00D56277">
        <w:br/>
        <w:t xml:space="preserve">    ...</w:t>
      </w:r>
    </w:p>
    <w:p w14:paraId="41E01B1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Cinco decisiones en cinco líneas, y ninguna es cosmética. El </w:t>
      </w:r>
      <w:r w:rsidRPr="00D56277">
        <w:rPr>
          <w:rFonts w:ascii="Consolas" w:hAnsi="Consolas" w:cs="Calibri"/>
          <w:sz w:val="20"/>
        </w:rPr>
        <w:t>le=100</w:t>
      </w:r>
      <w:r w:rsidRPr="00D56277">
        <w:rPr>
          <w:rFonts w:cs="Calibri"/>
        </w:rPr>
        <w:t xml:space="preserve"> </w:t>
      </w:r>
      <w:r w:rsidRPr="00D56277">
        <w:rPr>
          <w:rFonts w:cs="Calibri"/>
          <w:b/>
        </w:rPr>
        <w:t>es</w:t>
      </w:r>
      <w:r w:rsidRPr="00D56277">
        <w:rPr>
          <w:rFonts w:cs="Calibri"/>
        </w:rPr>
        <w:t xml:space="preserve"> el límite de tamaño de la tabla anterior, declarado donde se aplica. El </w:t>
      </w:r>
      <w:r w:rsidRPr="00D56277">
        <w:rPr>
          <w:rFonts w:ascii="Consolas" w:hAnsi="Consolas" w:cs="Calibri"/>
          <w:sz w:val="20"/>
        </w:rPr>
        <w:t>pattern</w:t>
      </w:r>
      <w:r w:rsidRPr="00D56277">
        <w:rPr>
          <w:rFonts w:cs="Calibri"/>
        </w:rPr>
        <w:t xml:space="preserve"> del ordenamiento </w:t>
      </w:r>
      <w:r w:rsidRPr="00D56277">
        <w:rPr>
          <w:rFonts w:cs="Calibri"/>
          <w:b/>
        </w:rPr>
        <w:t>es</w:t>
      </w:r>
      <w:r w:rsidRPr="00D56277">
        <w:rPr>
          <w:rFonts w:cs="Calibri"/>
        </w:rPr>
        <w:t xml:space="preserve"> la lista blanca de campos ordenables: lo que no está en esa expresión no llega a la consulta. El </w:t>
      </w:r>
      <w:r w:rsidRPr="00D56277">
        <w:rPr>
          <w:rFonts w:ascii="Consolas" w:hAnsi="Consolas" w:cs="Calibri"/>
          <w:sz w:val="20"/>
        </w:rPr>
        <w:t>ge=1</w:t>
      </w:r>
      <w:r w:rsidRPr="00D56277">
        <w:rPr>
          <w:rFonts w:cs="Calibri"/>
        </w:rPr>
        <w:t xml:space="preserve"> de la página evita el cero y los negativos. Y el mínimo de dos caracteres en la búsqueda evita que una sola letra recorra la tabla entera.</w:t>
      </w:r>
    </w:p>
    <w:p w14:paraId="6A34306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Nótese que </w:t>
      </w:r>
      <w:r w:rsidRPr="00D56277">
        <w:rPr>
          <w:rFonts w:cs="Calibri"/>
          <w:b/>
        </w:rPr>
        <w:t>la lista blanca vive en el mismo lugar que la documentación</w:t>
      </w:r>
      <w:r w:rsidRPr="00D56277">
        <w:rPr>
          <w:rFonts w:cs="Calibri"/>
        </w:rPr>
        <w:t xml:space="preserve">: quien lea la especificación va a ver exactamente qué valores admite </w:t>
      </w:r>
      <w:r w:rsidRPr="00D56277">
        <w:rPr>
          <w:rFonts w:ascii="Consolas" w:hAnsi="Consolas" w:cs="Calibri"/>
          <w:sz w:val="20"/>
        </w:rPr>
        <w:t>sort</w:t>
      </w:r>
      <w:r w:rsidRPr="00D56277">
        <w:rPr>
          <w:rFonts w:cs="Calibri"/>
        </w:rPr>
        <w:t>, sin que nadie lo escriba aparte.</w:t>
      </w:r>
    </w:p>
    <w:p w14:paraId="7F01D28D" w14:textId="77777777" w:rsidR="00D56277" w:rsidRDefault="00D56277" w:rsidP="00D56277">
      <w:pPr>
        <w:pStyle w:val="Ttulo2cap"/>
      </w:pPr>
      <w:bookmarkStart w:id="10" w:name="_Toc238750344"/>
      <w:r>
        <w:t>2.10. Errores: un formato normado</w:t>
      </w:r>
      <w:bookmarkEnd w:id="10"/>
    </w:p>
    <w:p w14:paraId="47C3F09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El TPI no inventa su formato de error: adopta uno normado.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228583E2" w14:textId="77777777" w:rsidTr="00D56277">
        <w:tc>
          <w:tcPr>
            <w:tcW w:w="8494" w:type="dxa"/>
            <w:shd w:val="clear" w:color="EFEFEF" w:fill="EFEFEF"/>
          </w:tcPr>
          <w:p w14:paraId="752188AE" w14:textId="77213490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Formato de error conforme a la </w:t>
            </w:r>
            <w:r w:rsidRPr="00D56277">
              <w:rPr>
                <w:rFonts w:cs="Calibri"/>
                <w:b/>
              </w:rPr>
              <w:t>RFC 9457</w:t>
            </w:r>
            <w:r w:rsidRPr="00D56277">
              <w:rPr>
                <w:rFonts w:cs="Calibri"/>
              </w:rPr>
              <w:t xml:space="preserve">, </w:t>
            </w:r>
            <w:r w:rsidRPr="00D56277">
              <w:rPr>
                <w:rFonts w:ascii="Consolas" w:hAnsi="Consolas" w:cs="Calibri"/>
                <w:sz w:val="20"/>
              </w:rPr>
              <w:t>Content-Type: application/problem+json</w:t>
            </w:r>
            <w:r w:rsidRPr="00D56277">
              <w:rPr>
                <w:rFonts w:cs="Calibri"/>
              </w:rPr>
              <w:t>.</w:t>
            </w:r>
          </w:p>
        </w:tc>
      </w:tr>
    </w:tbl>
    <w:p w14:paraId="5D40F983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t>Esa norma —</w:t>
      </w:r>
      <w:r w:rsidRPr="00D56277">
        <w:rPr>
          <w:rFonts w:cs="Calibri"/>
          <w:i/>
        </w:rPr>
        <w:t>Problem Details for HTTP APIs</w:t>
      </w:r>
      <w:r w:rsidRPr="00D56277">
        <w:rPr>
          <w:rFonts w:cs="Calibri"/>
        </w:rPr>
        <w:t xml:space="preserve">— define una forma estándar para describir un error, con campos como </w:t>
      </w:r>
      <w:r w:rsidRPr="00D56277">
        <w:rPr>
          <w:rFonts w:ascii="Consolas" w:hAnsi="Consolas" w:cs="Calibri"/>
          <w:sz w:val="20"/>
        </w:rPr>
        <w:t>type</w:t>
      </w:r>
      <w:r w:rsidRPr="00D56277">
        <w:rPr>
          <w:rFonts w:cs="Calibri"/>
        </w:rPr>
        <w:t xml:space="preserve">, </w:t>
      </w:r>
      <w:r w:rsidRPr="00D56277">
        <w:rPr>
          <w:rFonts w:ascii="Consolas" w:hAnsi="Consolas" w:cs="Calibri"/>
          <w:sz w:val="20"/>
        </w:rPr>
        <w:t>title</w:t>
      </w:r>
      <w:r w:rsidRPr="00D56277">
        <w:rPr>
          <w:rFonts w:cs="Calibri"/>
        </w:rPr>
        <w:t xml:space="preserve">, </w:t>
      </w:r>
      <w:r w:rsidRPr="00D56277">
        <w:rPr>
          <w:rFonts w:ascii="Consolas" w:hAnsi="Consolas" w:cs="Calibri"/>
          <w:sz w:val="20"/>
        </w:rPr>
        <w:t>status</w:t>
      </w:r>
      <w:r w:rsidRPr="00D56277">
        <w:rPr>
          <w:rFonts w:cs="Calibri"/>
        </w:rPr>
        <w:t xml:space="preserve">, </w:t>
      </w:r>
      <w:r w:rsidRPr="00D56277">
        <w:rPr>
          <w:rFonts w:ascii="Consolas" w:hAnsi="Consolas" w:cs="Calibri"/>
          <w:sz w:val="20"/>
        </w:rPr>
        <w:t>detail</w:t>
      </w:r>
      <w:r w:rsidRPr="00D56277">
        <w:rPr>
          <w:rFonts w:cs="Calibri"/>
        </w:rPr>
        <w:t xml:space="preserve"> e </w:t>
      </w:r>
      <w:r w:rsidRPr="00D56277">
        <w:rPr>
          <w:rFonts w:ascii="Consolas" w:hAnsi="Consolas" w:cs="Calibri"/>
          <w:sz w:val="20"/>
        </w:rPr>
        <w:t>instance</w:t>
      </w:r>
      <w:r w:rsidRPr="00D56277">
        <w:rPr>
          <w:rFonts w:cs="Calibri"/>
        </w:rPr>
        <w:t xml:space="preserve">. Adoptarla tiene una ventaja concreta sobre inventar un formato propio: </w:t>
      </w:r>
      <w:r w:rsidRPr="00D56277">
        <w:rPr>
          <w:rFonts w:cs="Calibri"/>
          <w:b/>
        </w:rPr>
        <w:t>cualquier cliente que la conozca sabe leer el error sin documentación adicional.</w:t>
      </w:r>
    </w:p>
    <w:p w14:paraId="2ABC2108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Sobre esa base, la sección 14.1 del TPI define un </w:t>
      </w:r>
      <w:r w:rsidRPr="00D56277">
        <w:rPr>
          <w:rFonts w:cs="Calibri"/>
          <w:b/>
        </w:rPr>
        <w:t>catálogo de códigos de error</w:t>
      </w:r>
      <w:r w:rsidRPr="00D56277">
        <w:rPr>
          <w:rFonts w:cs="Calibri"/>
        </w:rPr>
        <w:t>: una lista donde cada situación del dominio tiene un código estable, su código HTTP y la descripción de cuándo se produce.</w:t>
      </w:r>
    </w:p>
    <w:p w14:paraId="744DC5F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La existencia de ese catálogo es una decisión de diseño con consecuencias para las dos mitades de la cursada, y conviene entender cuál:</w:t>
      </w:r>
    </w:p>
    <w:p w14:paraId="2F1A7BE4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El cliente puede distinguir casos por un código y no por el texto del mensaje.</w:t>
      </w:r>
      <w:r w:rsidRPr="00D56277">
        <w:rPr>
          <w:rFonts w:cs="Calibri"/>
        </w:rPr>
        <w:t xml:space="preserve"> Comparar textos es frágil —cambian, se corrigen, se traducen— y un código no. Con catálogo, el cliente puede mostrar una pantalla distinta ante "stock insuficiente" que ante "producto no disponible", y esa lógica no se rompe cuando alguien mejora la redacción del mensaje.</w:t>
      </w:r>
    </w:p>
    <w:p w14:paraId="26D9E2BC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Del lado del servidor, eso se traduce en una regla que el Capítulo 1 ya adelantó: </w:t>
      </w:r>
      <w:r w:rsidRPr="00D56277">
        <w:rPr>
          <w:rFonts w:cs="Calibri"/>
          <w:b/>
        </w:rPr>
        <w:t>el Router no traduce excepciones.</w:t>
      </w:r>
      <w:r w:rsidRPr="00D56277">
        <w:rPr>
          <w:rFonts w:cs="Calibri"/>
        </w:rPr>
        <w:t xml:space="preserve"> El Service lanza excepciones de dominio, y un manejador global —que la clase 8 estudia— las convierte al formato normado. La razón es la de siempre: con setenta endpoints traduciendo por su cuenta, basta con que uno difiera.</w:t>
      </w:r>
    </w:p>
    <w:p w14:paraId="218F793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En esta clase, sin base de datos todavía, alcanza con </w:t>
      </w:r>
      <w:r w:rsidRPr="00D56277">
        <w:rPr>
          <w:rFonts w:ascii="Consolas" w:hAnsi="Consolas" w:cs="Calibri"/>
          <w:sz w:val="20"/>
        </w:rPr>
        <w:t>HTTPException</w:t>
      </w:r>
      <w:r w:rsidRPr="00D56277">
        <w:rPr>
          <w:rFonts w:cs="Calibri"/>
        </w:rPr>
        <w:t xml:space="preserve"> para los casos simples:</w:t>
      </w:r>
    </w:p>
    <w:p w14:paraId="447D6857" w14:textId="77777777" w:rsidR="00D56277" w:rsidRDefault="00D56277" w:rsidP="00D56277">
      <w:pPr>
        <w:pStyle w:val="Bloquedecdigo"/>
      </w:pPr>
      <w:r w:rsidRPr="00D56277">
        <w:lastRenderedPageBreak/>
        <w:t>@app.get("/productos/{producto_id}", response_model=ProductoPublic)</w:t>
      </w:r>
      <w:r w:rsidRPr="00D56277">
        <w:br/>
        <w:t>async def obtener_producto(producto_id: int):</w:t>
      </w:r>
      <w:r w:rsidRPr="00D56277">
        <w:br/>
        <w:t xml:space="preserve">    producto = _almacen.get(producto_id)</w:t>
      </w:r>
      <w:r w:rsidRPr="00D56277">
        <w:br/>
        <w:t xml:space="preserve">    if producto is None:</w:t>
      </w:r>
      <w:r w:rsidRPr="00D56277">
        <w:br/>
        <w:t xml:space="preserve">        raise HTTPException(status_code=404, detail="Producto no encontrado")</w:t>
      </w:r>
      <w:r w:rsidRPr="00D56277">
        <w:br/>
        <w:t xml:space="preserve">    return producto</w:t>
      </w:r>
    </w:p>
    <w:p w14:paraId="193946D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Eso es correcto para un CRUD en memoria y </w:t>
      </w:r>
      <w:r w:rsidRPr="00D56277">
        <w:rPr>
          <w:rFonts w:cs="Calibri"/>
          <w:b/>
        </w:rPr>
        <w:t>deja de serlo apenas aparece el Service</w:t>
      </w:r>
      <w:r w:rsidRPr="00D56277">
        <w:rPr>
          <w:rFonts w:cs="Calibri"/>
        </w:rPr>
        <w:t xml:space="preserve">. La razón se ve mejor con un ejemplo del dominio: cuando el Service de pedidos detecta que no hay stock, no puede lanzar una excepción HTTP, porque </w:t>
      </w:r>
      <w:r w:rsidRPr="00D56277">
        <w:rPr>
          <w:rFonts w:cs="Calibri"/>
          <w:b/>
        </w:rPr>
        <w:t>el Service no sabe que existe HTTP</w:t>
      </w:r>
      <w:r w:rsidRPr="00D56277">
        <w:rPr>
          <w:rFonts w:cs="Calibri"/>
        </w:rPr>
        <w:t>. La misma función la invoca una tarea del worker, donde no hay ninguna petición que responder.</w:t>
      </w:r>
    </w:p>
    <w:p w14:paraId="427B343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Lo que el Service lanza es una excepción de dominio:</w:t>
      </w:r>
    </w:p>
    <w:p w14:paraId="0E5632F7" w14:textId="77777777" w:rsidR="00D56277" w:rsidRDefault="00D56277" w:rsidP="00D56277">
      <w:pPr>
        <w:pStyle w:val="Bloquedecdigo"/>
      </w:pPr>
      <w:r w:rsidRPr="00D56277">
        <w:t>class StockInsuficiente(ErrorDeDominio):</w:t>
      </w:r>
      <w:r w:rsidRPr="00D56277">
        <w:br/>
        <w:t xml:space="preserve">    codigo = "STOCK_INSUFICIENTE"</w:t>
      </w:r>
      <w:r w:rsidRPr="00D56277">
        <w:br/>
        <w:t xml:space="preserve">    estado_http = 409</w:t>
      </w:r>
    </w:p>
    <w:p w14:paraId="20C1E0AB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t xml:space="preserve">Y el manejador global la traduce, una sola vez, para todos los endpoints. Esta clase usa </w:t>
      </w:r>
      <w:r w:rsidRPr="00D56277">
        <w:rPr>
          <w:rFonts w:ascii="Consolas" w:hAnsi="Consolas" w:cs="Calibri"/>
          <w:sz w:val="20"/>
        </w:rPr>
        <w:t>HTTPException</w:t>
      </w:r>
      <w:r w:rsidRPr="00D56277">
        <w:rPr>
          <w:rFonts w:cs="Calibri"/>
        </w:rPr>
        <w:t xml:space="preserve"> porque todavía no hay Service; </w:t>
      </w:r>
      <w:r w:rsidRPr="00D56277">
        <w:rPr>
          <w:rFonts w:cs="Calibri"/>
          <w:b/>
        </w:rPr>
        <w:t>la clase 8 hace el cambio y explica por qué era inevitable.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1AD1A6B0" w14:textId="77777777" w:rsidTr="00D56277">
        <w:tc>
          <w:tcPr>
            <w:tcW w:w="8494" w:type="dxa"/>
            <w:shd w:val="clear" w:color="EFEFEF" w:fill="EFEFEF"/>
          </w:tcPr>
          <w:p w14:paraId="25E344C3" w14:textId="6454AA8B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595959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D56277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</w:tc>
      </w:tr>
      <w:tr w:rsidR="00D56277" w:rsidRPr="00D56277" w14:paraId="7697622D" w14:textId="77777777" w:rsidTr="00D56277">
        <w:tc>
          <w:tcPr>
            <w:tcW w:w="8494" w:type="dxa"/>
            <w:shd w:val="clear" w:color="EFEFEF" w:fill="EFEFEF"/>
          </w:tcPr>
          <w:p w14:paraId="77F46A1A" w14:textId="1F1F7D3A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Una decisión de esta sección que vale para cualquier API que escribas:</w:t>
            </w:r>
          </w:p>
        </w:tc>
      </w:tr>
      <w:tr w:rsidR="00D56277" w:rsidRPr="00D56277" w14:paraId="5B060A02" w14:textId="77777777" w:rsidTr="00D56277">
        <w:tc>
          <w:tcPr>
            <w:tcW w:w="8494" w:type="dxa"/>
            <w:shd w:val="clear" w:color="EFEFEF" w:fill="EFEFEF"/>
          </w:tcPr>
          <w:p w14:paraId="289E4692" w14:textId="1613CEAC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  <w:b/>
              </w:rPr>
              <w:t>Un mensaje de error es para una persona. Un código de error es para un programa.</w:t>
            </w:r>
            <w:r w:rsidRPr="00D56277">
              <w:rPr>
                <w:rFonts w:cs="Calibri"/>
              </w:rPr>
              <w:t xml:space="preserve"> Hacen falta los dos y no se reemplazan.</w:t>
            </w:r>
          </w:p>
        </w:tc>
      </w:tr>
      <w:tr w:rsidR="00D56277" w:rsidRPr="00D56277" w14:paraId="45655795" w14:textId="77777777" w:rsidTr="00D56277">
        <w:tc>
          <w:tcPr>
            <w:tcW w:w="8494" w:type="dxa"/>
            <w:shd w:val="clear" w:color="EFEFEF" w:fill="EFEFEF"/>
          </w:tcPr>
          <w:p w14:paraId="11BAC6B2" w14:textId="10EC6398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Si sólo mandás mensaje, el cliente termina haciendo </w:t>
            </w:r>
            <w:r w:rsidRPr="00D56277">
              <w:rPr>
                <w:rFonts w:ascii="Consolas" w:hAnsi="Consolas" w:cs="Calibri"/>
                <w:sz w:val="20"/>
              </w:rPr>
              <w:t>if (error.message.includes("stock"))</w:t>
            </w:r>
            <w:r w:rsidRPr="00D56277">
              <w:rPr>
                <w:rFonts w:cs="Calibri"/>
              </w:rPr>
              <w:t>, y eso se rompe el día que alguien corrige una tilde.</w:t>
            </w:r>
          </w:p>
        </w:tc>
      </w:tr>
      <w:tr w:rsidR="00D56277" w:rsidRPr="00D56277" w14:paraId="6493995C" w14:textId="77777777" w:rsidTr="00D56277">
        <w:tc>
          <w:tcPr>
            <w:tcW w:w="8494" w:type="dxa"/>
            <w:shd w:val="clear" w:color="EFEFEF" w:fill="EFEFEF"/>
          </w:tcPr>
          <w:p w14:paraId="5BDDBC74" w14:textId="57B58028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Si sólo mandás código, la persona que abre las herramientas de desarrollo ve </w:t>
            </w:r>
            <w:r w:rsidRPr="00D56277">
              <w:rPr>
                <w:rFonts w:ascii="Consolas" w:hAnsi="Consolas" w:cs="Calibri"/>
                <w:sz w:val="20"/>
              </w:rPr>
              <w:t>ERR_4021</w:t>
            </w:r>
            <w:r w:rsidRPr="00D56277">
              <w:rPr>
                <w:rFonts w:cs="Calibri"/>
              </w:rPr>
              <w:t xml:space="preserve"> y no sabe qué pasó.</w:t>
            </w:r>
          </w:p>
        </w:tc>
      </w:tr>
      <w:tr w:rsidR="00D56277" w:rsidRPr="00D56277" w14:paraId="04239696" w14:textId="77777777" w:rsidTr="00D56277">
        <w:tc>
          <w:tcPr>
            <w:tcW w:w="8494" w:type="dxa"/>
            <w:shd w:val="clear" w:color="EFEFEF" w:fill="EFEFEF"/>
          </w:tcPr>
          <w:p w14:paraId="0D6F5BDB" w14:textId="191F1088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Y hay un tercer nivel que casi nadie pone y es el que más ayuda: </w:t>
            </w:r>
            <w:r w:rsidRPr="00D56277">
              <w:rPr>
                <w:rFonts w:cs="Calibri"/>
                <w:b/>
              </w:rPr>
              <w:t>qué puede hacer el cliente al respecto.</w:t>
            </w:r>
            <w:r w:rsidRPr="00D56277">
              <w:rPr>
                <w:rFonts w:cs="Calibri"/>
              </w:rPr>
              <w:t xml:space="preserve"> No es lo mismo "no hay stock" —esperá o cambiá el producto— que "el pedido ya fue entregado" —no hay nada que hacer—. Esa distinción es la que permite del otro lado mostrar un botón de reintentar o no mostrarlo.</w:t>
            </w:r>
          </w:p>
        </w:tc>
      </w:tr>
    </w:tbl>
    <w:p w14:paraId="22B2088F" w14:textId="77777777" w:rsidR="00D56277" w:rsidRDefault="00D56277" w:rsidP="00D56277">
      <w:pPr>
        <w:pStyle w:val="Ttulo2cap"/>
      </w:pPr>
      <w:bookmarkStart w:id="11" w:name="_Toc238750345"/>
      <w:r>
        <w:t>2.11. Observabilidad: el identificador de petición</w:t>
      </w:r>
      <w:bookmarkEnd w:id="11"/>
    </w:p>
    <w:p w14:paraId="309A43EC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El TPI declara una convención que parece menor y resuelve un problema grande: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7F7C56CF" w14:textId="77777777" w:rsidTr="00D56277">
        <w:tc>
          <w:tcPr>
            <w:tcW w:w="8494" w:type="dxa"/>
            <w:shd w:val="clear" w:color="EFEFEF" w:fill="EFEFEF"/>
          </w:tcPr>
          <w:p w14:paraId="2A5E51FE" w14:textId="601B45B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Todas las respuestas llevan el encabezado </w:t>
            </w:r>
            <w:r w:rsidRPr="00D56277">
              <w:rPr>
                <w:rFonts w:ascii="Consolas" w:hAnsi="Consolas" w:cs="Calibri"/>
                <w:b/>
                <w:sz w:val="20"/>
              </w:rPr>
              <w:t>X-Request-Id</w:t>
            </w:r>
            <w:r w:rsidRPr="00D56277">
              <w:rPr>
                <w:rFonts w:cs="Calibri"/>
              </w:rPr>
              <w:t xml:space="preserve">, que también aparece en cada línea de log de esa petición </w:t>
            </w:r>
            <w:r w:rsidRPr="00D56277">
              <w:rPr>
                <w:rFonts w:cs="Calibri"/>
                <w:b/>
              </w:rPr>
              <w:t>y viaja hasta las tareas que la petición encoló.</w:t>
            </w:r>
          </w:p>
        </w:tc>
      </w:tr>
    </w:tbl>
    <w:p w14:paraId="71D8AC55" w14:textId="77777777" w:rsidR="00D56277" w:rsidRDefault="00D56277" w:rsidP="00D56277">
      <w:pPr>
        <w:pStyle w:val="Cuerpocap"/>
        <w:rPr>
          <w:rFonts w:cs="Calibri"/>
          <w:b/>
        </w:rPr>
      </w:pPr>
      <w:r w:rsidRPr="00D56277">
        <w:rPr>
          <w:rFonts w:cs="Calibri"/>
        </w:rPr>
        <w:t xml:space="preserve">El problema que resuelve es concreto. Un usuario reporta que algo falló. En los registros del servidor hay miles de líneas de decenas de peticiones simultáneas, y sin un identificador </w:t>
      </w:r>
      <w:r w:rsidRPr="00D56277">
        <w:rPr>
          <w:rFonts w:cs="Calibri"/>
          <w:b/>
        </w:rPr>
        <w:t>no hay forma de saber cuáles corresponden a la suya.</w:t>
      </w:r>
    </w:p>
    <w:p w14:paraId="2C6FE4B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Con un identificador que viaja en la respuesta, ese usuario —o el frontend, que lo puede registrar— aporta un dato que permite filtrar los registros y ver </w:t>
      </w:r>
      <w:r w:rsidRPr="00D56277">
        <w:rPr>
          <w:rFonts w:cs="Calibri"/>
          <w:b/>
        </w:rPr>
        <w:t>sólo esa petición</w:t>
      </w:r>
      <w:r w:rsidRPr="00D56277">
        <w:rPr>
          <w:rFonts w:cs="Calibri"/>
        </w:rPr>
        <w:t>, de punta a punta.</w:t>
      </w:r>
    </w:p>
    <w:p w14:paraId="0E049495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lastRenderedPageBreak/>
        <w:t xml:space="preserve">Y la última parte de la cita es la que más vale: </w:t>
      </w:r>
      <w:r w:rsidRPr="00D56277">
        <w:rPr>
          <w:rFonts w:cs="Calibri"/>
          <w:b/>
        </w:rPr>
        <w:t>el identificador viaja hasta las tareas.</w:t>
      </w:r>
      <w:r w:rsidRPr="00D56277">
        <w:rPr>
          <w:rFonts w:cs="Calibri"/>
        </w:rPr>
        <w:t xml:space="preserve"> Una petición puede encolar trabajo que se ejecuta minutos después en otro proceso; sin ese arrastre, un error en el worker es imposible de atar a lo que lo originó. Es la regla TB-06, que la clase 8 desarrolla.</w:t>
      </w:r>
    </w:p>
    <w:p w14:paraId="315192B5" w14:textId="77777777" w:rsidR="00D56277" w:rsidRDefault="00D56277" w:rsidP="00D56277">
      <w:pPr>
        <w:pStyle w:val="Ttulo2cap"/>
      </w:pPr>
      <w:bookmarkStart w:id="12" w:name="_Toc238750346"/>
      <w:r>
        <w:t>2.12. Herramientas de diagnóstico</w:t>
      </w:r>
      <w:bookmarkEnd w:id="12"/>
    </w:p>
    <w:p w14:paraId="7B82497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La documentación interactiva</w:t>
      </w:r>
      <w:r w:rsidRPr="00D56277">
        <w:rPr>
          <w:rFonts w:cs="Calibri"/>
        </w:rPr>
        <w:t xml:space="preserve"> vuelve a ser la herramienta principal, y ahora con más para mirar: cada endpoint muestra el schema de entrada con sus restricciones, el de salida, y los códigos de error posibles. Ejecutar desde ahí con datos inválidos es la forma más rápida de verificar que la validación hace lo que se espera.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:rsidRPr="00D56277" w14:paraId="3CD22678" w14:textId="77777777" w:rsidTr="00D56277">
        <w:tc>
          <w:tcPr>
            <w:tcW w:w="8494" w:type="dxa"/>
            <w:shd w:val="clear" w:color="FFFFFF" w:fill="FFFFFF"/>
            <w:vAlign w:val="center"/>
          </w:tcPr>
          <w:p w14:paraId="34766374" w14:textId="63F46B4B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drawing>
                <wp:inline distT="0" distB="0" distL="0" distR="0" wp14:anchorId="32C510D6" wp14:editId="3DC3F60C">
                  <wp:extent cx="5197508" cy="2705100"/>
                  <wp:effectExtent l="0" t="0" r="3175" b="0"/>
                  <wp:docPr id="46265073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5073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508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5810E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 xml:space="preserve">Figura 2.5. Un </w:t>
      </w:r>
      <w:r w:rsidRPr="00D56277">
        <w:rPr>
          <w:rFonts w:ascii="Consolas" w:hAnsi="Consolas" w:cs="Calibri"/>
          <w:sz w:val="20"/>
        </w:rPr>
        <w:t>422</w:t>
      </w:r>
      <w:r w:rsidRPr="00D56277">
        <w:rPr>
          <w:rFonts w:cs="Calibri"/>
        </w:rPr>
        <w:t xml:space="preserve"> en la documentación interactiva</w:t>
      </w:r>
    </w:p>
    <w:p w14:paraId="196BBB6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La especificación en crudo</w:t>
      </w:r>
      <w:r w:rsidRPr="00D56277">
        <w:rPr>
          <w:rFonts w:cs="Calibri"/>
        </w:rPr>
        <w:t xml:space="preserve"> es lo que hay que abrir cuando el frontend reporta un desajuste. Es el contrato, y la discusión se resuelve ahí.</w:t>
      </w:r>
    </w:p>
    <w:tbl>
      <w:tblPr>
        <w:tblStyle w:val="Tablaconcuadrcula"/>
        <w:tblW w:w="0" w:type="auto"/>
        <w:tblBorders>
          <w:top w:val="none" w:sz="8" w:space="0" w:color="BFBFBF"/>
          <w:left w:val="none" w:sz="8" w:space="0" w:color="BFBFBF"/>
          <w:bottom w:val="none" w:sz="8" w:space="0" w:color="BFBFBF"/>
          <w:right w:val="non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D56277" w:rsidRPr="00D56277" w14:paraId="5D0BCC08" w14:textId="77777777" w:rsidTr="00D56277">
        <w:tc>
          <w:tcPr>
            <w:tcW w:w="8494" w:type="dxa"/>
            <w:shd w:val="clear" w:color="FFFFFF" w:fill="FFFFFF"/>
            <w:vAlign w:val="center"/>
          </w:tcPr>
          <w:p w14:paraId="36D323A9" w14:textId="73B64D0D" w:rsidR="00D56277" w:rsidRPr="00D56277" w:rsidRDefault="00D56277" w:rsidP="00D56277">
            <w:pPr>
              <w:pStyle w:val="Cuerpocap"/>
              <w:spacing w:before="80" w:after="80"/>
              <w:jc w:val="center"/>
              <w:rPr>
                <w:rFonts w:cs="Calibri"/>
                <w:b/>
                <w:color w:val="909497"/>
                <w:sz w:val="18"/>
              </w:rPr>
            </w:pPr>
            <w:r>
              <w:rPr>
                <w:rFonts w:cs="Calibri"/>
                <w:b/>
                <w:noProof/>
                <w:color w:val="909497"/>
                <w:sz w:val="18"/>
              </w:rPr>
              <w:lastRenderedPageBreak/>
              <w:drawing>
                <wp:inline distT="0" distB="0" distL="0" distR="0" wp14:anchorId="33B6EF73" wp14:editId="12BD66A3">
                  <wp:extent cx="5211292" cy="3594100"/>
                  <wp:effectExtent l="0" t="0" r="8890" b="6350"/>
                  <wp:docPr id="67404010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40109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292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177DF" w14:textId="77777777" w:rsidR="00D56277" w:rsidRDefault="00D56277" w:rsidP="00D56277">
      <w:pPr>
        <w:pStyle w:val="Epgrafefigura"/>
        <w:rPr>
          <w:rFonts w:cs="Calibri"/>
        </w:rPr>
      </w:pPr>
      <w:r w:rsidRPr="00D56277">
        <w:rPr>
          <w:rFonts w:cs="Calibri"/>
        </w:rPr>
        <w:t>Figura 2.6. El schema en la especificación</w:t>
      </w:r>
    </w:p>
    <w:p w14:paraId="4A830B02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El propio modelo, en una consola de Python</w:t>
      </w:r>
      <w:r w:rsidRPr="00D56277">
        <w:rPr>
          <w:rFonts w:cs="Calibri"/>
        </w:rPr>
        <w:t>, es la forma más rápida de probar una validación sin levantar el servidor:</w:t>
      </w:r>
    </w:p>
    <w:p w14:paraId="13028F71" w14:textId="77777777" w:rsidR="00D56277" w:rsidRDefault="00D56277" w:rsidP="00D56277">
      <w:pPr>
        <w:pStyle w:val="Bloquedecdigo"/>
      </w:pPr>
      <w:r w:rsidRPr="00D56277">
        <w:t>&gt;&gt;&gt; ProductoCreate.model_validate({"nombre": "", "precio": "-1"})</w:t>
      </w:r>
      <w:r w:rsidRPr="00D56277">
        <w:br/>
        <w:t>ValidationError: 2 validation errors for ProductoCreate</w:t>
      </w:r>
    </w:p>
    <w:p w14:paraId="57FF9B6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Dos errores, no uno: la validación reporta todo lo que encuentra.</w:t>
      </w:r>
    </w:p>
    <w:p w14:paraId="51777DE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Y </w:t>
      </w:r>
      <w:r w:rsidRPr="00D56277">
        <w:rPr>
          <w:rFonts w:ascii="Consolas" w:hAnsi="Consolas" w:cs="Calibri"/>
          <w:b/>
          <w:sz w:val="20"/>
        </w:rPr>
        <w:t>model_json_schema()</w:t>
      </w:r>
      <w:r w:rsidRPr="00D56277">
        <w:rPr>
          <w:rFonts w:cs="Calibri"/>
        </w:rPr>
        <w:t xml:space="preserve"> devuelve el esquema del modelo, que es literalmente lo que aparece en la especificación. Es útil para verificar que una restricción quedó declarada donde se pensaba.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74BC4483" w14:textId="77777777" w:rsidTr="00D56277">
        <w:tc>
          <w:tcPr>
            <w:tcW w:w="8494" w:type="dxa"/>
            <w:shd w:val="clear" w:color="DEEBF7" w:fill="DEEBF7"/>
          </w:tcPr>
          <w:p w14:paraId="60A35337" w14:textId="15F8AD5D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2E74B5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D56277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</w:tc>
      </w:tr>
      <w:tr w:rsidR="00D56277" w:rsidRPr="00D56277" w14:paraId="2D985999" w14:textId="77777777" w:rsidTr="00D56277">
        <w:tc>
          <w:tcPr>
            <w:tcW w:w="8494" w:type="dxa"/>
            <w:shd w:val="clear" w:color="DEEBF7" w:fill="DEEBF7"/>
          </w:tcPr>
          <w:p w14:paraId="759D4621" w14:textId="001F864E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Un hábito que te va a servir toda la carrera y que casi nadie adopta: </w:t>
            </w:r>
            <w:r w:rsidRPr="00D56277">
              <w:rPr>
                <w:rFonts w:cs="Calibri"/>
                <w:b/>
              </w:rPr>
              <w:t>probá tus modelos en la consola antes de levantar el servidor.</w:t>
            </w:r>
          </w:p>
        </w:tc>
      </w:tr>
      <w:tr w:rsidR="00D56277" w:rsidRPr="00D56277" w14:paraId="72D9B9D6" w14:textId="77777777" w:rsidTr="00D56277">
        <w:tc>
          <w:tcPr>
            <w:tcW w:w="8494" w:type="dxa"/>
            <w:shd w:val="clear" w:color="DEEBF7" w:fill="DEEBF7"/>
          </w:tcPr>
          <w:p w14:paraId="48B214EE" w14:textId="547016AE" w:rsidR="00D56277" w:rsidRPr="00D56277" w:rsidRDefault="00D56277" w:rsidP="00D56277">
            <w:pPr>
              <w:pStyle w:val="Bloquedecdigo"/>
              <w:spacing w:before="0" w:after="100"/>
              <w:ind w:left="0" w:right="0"/>
            </w:pPr>
            <w:r w:rsidRPr="00D56277">
              <w:t>&gt;&gt;&gt; from app.schemas import ProductoCreate</w:t>
            </w:r>
            <w:r w:rsidRPr="00D56277">
              <w:br/>
              <w:t>&gt;&gt;&gt; ProductoCreate.model_validate({"nombre": "Milanesa", "precio": "4750.00",</w:t>
            </w:r>
            <w:r w:rsidRPr="00D56277">
              <w:br/>
              <w:t>...                                "categoria_id": 3})</w:t>
            </w:r>
            <w:r w:rsidRPr="00D56277">
              <w:br/>
              <w:t>ProductoCreate(nombre='Milanesa', precio=Decimal('4750.00'), categoria_id=3)</w:t>
            </w:r>
          </w:p>
        </w:tc>
      </w:tr>
      <w:tr w:rsidR="00D56277" w:rsidRPr="00D56277" w14:paraId="1B10D583" w14:textId="77777777" w:rsidTr="00D56277">
        <w:tc>
          <w:tcPr>
            <w:tcW w:w="8494" w:type="dxa"/>
            <w:shd w:val="clear" w:color="DEEBF7" w:fill="DEEBF7"/>
          </w:tcPr>
          <w:p w14:paraId="25BB3C9B" w14:textId="6B2301D4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Fijate lo que ganaste: </w:t>
            </w:r>
            <w:r w:rsidRPr="00D56277">
              <w:rPr>
                <w:rFonts w:cs="Calibri"/>
                <w:b/>
              </w:rPr>
              <w:t>el ciclo de prueba pasó de "levantar el servidor, abrir el navegador, armar el cuerpo, mandar" a una línea.</w:t>
            </w:r>
          </w:p>
        </w:tc>
      </w:tr>
      <w:tr w:rsidR="00D56277" w:rsidRPr="00D56277" w14:paraId="5ADBDC3C" w14:textId="77777777" w:rsidTr="00D56277">
        <w:tc>
          <w:tcPr>
            <w:tcW w:w="8494" w:type="dxa"/>
            <w:shd w:val="clear" w:color="DEEBF7" w:fill="DEEBF7"/>
          </w:tcPr>
          <w:p w14:paraId="6FDBB5D7" w14:textId="390A0A77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Y hay algo más importante que la velocidad. Un modelo se puede probar </w:t>
            </w:r>
            <w:r w:rsidRPr="00D56277">
              <w:rPr>
                <w:rFonts w:cs="Calibri"/>
                <w:b/>
              </w:rPr>
              <w:t>sin FastAPI, sin servidor y sin red</w:t>
            </w:r>
            <w:r w:rsidRPr="00D56277">
              <w:rPr>
                <w:rFonts w:cs="Calibri"/>
              </w:rPr>
              <w:t>, porque es una clase común de Python. Eso significa que también se puede testear así, y los tests de tus schemas van a correr en milisegundos.</w:t>
            </w:r>
          </w:p>
        </w:tc>
      </w:tr>
      <w:tr w:rsidR="00D56277" w:rsidRPr="00D56277" w14:paraId="7DD60131" w14:textId="77777777" w:rsidTr="00D56277">
        <w:tc>
          <w:tcPr>
            <w:tcW w:w="8494" w:type="dxa"/>
            <w:shd w:val="clear" w:color="DEEBF7" w:fill="DEEBF7"/>
          </w:tcPr>
          <w:p w14:paraId="3F9CCFA0" w14:textId="5140592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lastRenderedPageBreak/>
              <w:t xml:space="preserve">Es la misma idea de la actividad 8 que viste en la clase 1: </w:t>
            </w:r>
            <w:r w:rsidRPr="00D56277">
              <w:rPr>
                <w:rFonts w:cs="Calibri"/>
                <w:b/>
              </w:rPr>
              <w:t>lo que no depende de nada se prueba solo.</w:t>
            </w:r>
            <w:r w:rsidRPr="00D56277">
              <w:rPr>
                <w:rFonts w:cs="Calibri"/>
              </w:rPr>
              <w:t xml:space="preserve"> Tus schemas no dependen de nada. Aprovechalo.</w:t>
            </w:r>
          </w:p>
        </w:tc>
      </w:tr>
    </w:tbl>
    <w:p w14:paraId="28632F26" w14:textId="77777777" w:rsidR="00D56277" w:rsidRDefault="00D56277" w:rsidP="00D56277">
      <w:pPr>
        <w:pStyle w:val="Cuerpocap"/>
        <w:rPr>
          <w:rFonts w:cs="Calibri"/>
        </w:rPr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56277" w:rsidRPr="00D56277" w14:paraId="02B4BDCF" w14:textId="77777777" w:rsidTr="00D56277">
        <w:tc>
          <w:tcPr>
            <w:tcW w:w="8494" w:type="dxa"/>
            <w:shd w:val="clear" w:color="E2F0DC" w:fill="E2F0DC"/>
          </w:tcPr>
          <w:p w14:paraId="2E25FF02" w14:textId="1A99DD28" w:rsidR="00D56277" w:rsidRPr="00D56277" w:rsidRDefault="00D56277" w:rsidP="00D56277">
            <w:pPr>
              <w:pStyle w:val="Cuerpocap"/>
              <w:spacing w:after="100"/>
              <w:rPr>
                <w:rFonts w:cs="Calibri"/>
                <w:b/>
                <w:color w:val="538135"/>
                <w:sz w:val="20"/>
              </w:rPr>
            </w:pPr>
            <w:r w:rsidRPr="00D56277">
              <w:rPr>
                <w:rFonts w:ascii="Segoe UI Emoji" w:hAnsi="Segoe UI Emoji" w:cs="Segoe UI Emoji"/>
                <w:b/>
                <w:color w:val="538135"/>
                <w:sz w:val="20"/>
              </w:rPr>
              <w:t>🧪</w:t>
            </w:r>
            <w:r w:rsidRPr="00D56277">
              <w:rPr>
                <w:rFonts w:cs="Calibri"/>
                <w:b/>
                <w:color w:val="538135"/>
                <w:sz w:val="20"/>
              </w:rPr>
              <w:t xml:space="preserve"> EXPERIMENTO</w:t>
            </w:r>
          </w:p>
        </w:tc>
      </w:tr>
      <w:tr w:rsidR="00D56277" w:rsidRPr="00D56277" w14:paraId="07A2145B" w14:textId="77777777" w:rsidTr="00D56277">
        <w:tc>
          <w:tcPr>
            <w:tcW w:w="8494" w:type="dxa"/>
            <w:shd w:val="clear" w:color="E2F0DC" w:fill="E2F0DC"/>
          </w:tcPr>
          <w:p w14:paraId="6AE25349" w14:textId="1BC614B6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El experimento de esta clase demuestra por qué el contrato importa, y conviene hacerlo de a dos.</w:t>
            </w:r>
          </w:p>
        </w:tc>
      </w:tr>
      <w:tr w:rsidR="00D56277" w:rsidRPr="00D56277" w14:paraId="70B87D36" w14:textId="77777777" w:rsidTr="00D56277">
        <w:tc>
          <w:tcPr>
            <w:tcW w:w="8494" w:type="dxa"/>
            <w:shd w:val="clear" w:color="E2F0DC" w:fill="E2F0DC"/>
          </w:tcPr>
          <w:p w14:paraId="6FF3A2C6" w14:textId="1915410B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1.  Escribí </w:t>
            </w:r>
            <w:r w:rsidRPr="00D56277">
              <w:rPr>
                <w:rFonts w:ascii="Consolas" w:hAnsi="Consolas" w:cs="Calibri"/>
                <w:sz w:val="20"/>
              </w:rPr>
              <w:t>ProductoCreate</w:t>
            </w:r>
            <w:r w:rsidRPr="00D56277">
              <w:rPr>
                <w:rFonts w:cs="Calibri"/>
              </w:rPr>
              <w:t xml:space="preserve"> con sus restricciones y levantá el proyecto.</w:t>
            </w:r>
          </w:p>
        </w:tc>
      </w:tr>
      <w:tr w:rsidR="00D56277" w:rsidRPr="00D56277" w14:paraId="0C5FBEA9" w14:textId="77777777" w:rsidTr="00D56277">
        <w:tc>
          <w:tcPr>
            <w:tcW w:w="8494" w:type="dxa"/>
            <w:shd w:val="clear" w:color="E2F0DC" w:fill="E2F0DC"/>
          </w:tcPr>
          <w:p w14:paraId="70A88769" w14:textId="5F6CFBF1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2.  Abrí la documentación interactiva y </w:t>
            </w:r>
            <w:r w:rsidRPr="00D56277">
              <w:rPr>
                <w:rFonts w:cs="Calibri"/>
                <w:b/>
              </w:rPr>
              <w:t>mandá cinco cuerpos inválidos distintos</w:t>
            </w:r>
            <w:r w:rsidRPr="00D56277">
              <w:rPr>
                <w:rFonts w:cs="Calibri"/>
              </w:rPr>
              <w:t>: nombre vacío, precio negativo, precio con tres decimales, categoría cero, y un campo de más que no existe en el modelo.</w:t>
            </w:r>
          </w:p>
        </w:tc>
      </w:tr>
      <w:tr w:rsidR="00D56277" w:rsidRPr="00D56277" w14:paraId="43B6AB4E" w14:textId="77777777" w:rsidTr="00D56277">
        <w:tc>
          <w:tcPr>
            <w:tcW w:w="8494" w:type="dxa"/>
            <w:shd w:val="clear" w:color="E2F0DC" w:fill="E2F0DC"/>
          </w:tcPr>
          <w:p w14:paraId="50220214" w14:textId="730A282F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3.  Anotá qué respondió cada uno. Fijate especialmente en el último.</w:t>
            </w:r>
          </w:p>
        </w:tc>
      </w:tr>
      <w:tr w:rsidR="00D56277" w:rsidRPr="00D56277" w14:paraId="35C596C2" w14:textId="77777777" w:rsidTr="00D56277">
        <w:tc>
          <w:tcPr>
            <w:tcW w:w="8494" w:type="dxa"/>
            <w:shd w:val="clear" w:color="E2F0DC" w:fill="E2F0DC"/>
          </w:tcPr>
          <w:p w14:paraId="51D6BAB5" w14:textId="67B498E5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4.  Ahora mandá </w:t>
            </w:r>
            <w:r w:rsidRPr="00D56277">
              <w:rPr>
                <w:rFonts w:cs="Calibri"/>
                <w:b/>
              </w:rPr>
              <w:t>dos errores a la vez</w:t>
            </w:r>
            <w:r w:rsidRPr="00D56277">
              <w:rPr>
                <w:rFonts w:cs="Calibri"/>
              </w:rPr>
              <w:t xml:space="preserve"> y contá cuántos te reporta.</w:t>
            </w:r>
          </w:p>
        </w:tc>
      </w:tr>
      <w:tr w:rsidR="00D56277" w:rsidRPr="00D56277" w14:paraId="336200ED" w14:textId="77777777" w:rsidTr="00D56277">
        <w:tc>
          <w:tcPr>
            <w:tcW w:w="8494" w:type="dxa"/>
            <w:shd w:val="clear" w:color="E2F0DC" w:fill="E2F0DC"/>
          </w:tcPr>
          <w:p w14:paraId="7835649E" w14:textId="165A72EB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>Cinco validaciones que no escribiste, y un cuerpo de error que dice exactamente qué falló en cada caso.</w:t>
            </w:r>
          </w:p>
        </w:tc>
      </w:tr>
      <w:tr w:rsidR="00D56277" w:rsidRPr="00D56277" w14:paraId="5C688783" w14:textId="77777777" w:rsidTr="00D56277">
        <w:tc>
          <w:tcPr>
            <w:tcW w:w="8494" w:type="dxa"/>
            <w:shd w:val="clear" w:color="E2F0DC" w:fill="E2F0DC"/>
          </w:tcPr>
          <w:p w14:paraId="51CA63EE" w14:textId="26F7602A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5.  Último paso, y es el que importa: </w:t>
            </w:r>
            <w:r w:rsidRPr="00D56277">
              <w:rPr>
                <w:rFonts w:cs="Calibri"/>
                <w:b/>
              </w:rPr>
              <w:t>pasale la URL de la documentación a alguien del turno de frontend y pedile que arme el cuerpo correcto sin que le expliques nada.</w:t>
            </w:r>
          </w:p>
        </w:tc>
      </w:tr>
      <w:tr w:rsidR="00D56277" w:rsidRPr="00D56277" w14:paraId="3D2DA182" w14:textId="77777777" w:rsidTr="00D56277">
        <w:tc>
          <w:tcPr>
            <w:tcW w:w="8494" w:type="dxa"/>
            <w:shd w:val="clear" w:color="E2F0DC" w:fill="E2F0DC"/>
          </w:tcPr>
          <w:p w14:paraId="31239591" w14:textId="7B30E6F9" w:rsidR="00D56277" w:rsidRPr="00D56277" w:rsidRDefault="00D56277" w:rsidP="00D56277">
            <w:pPr>
              <w:pStyle w:val="Cuerpocap"/>
              <w:spacing w:after="100"/>
              <w:rPr>
                <w:rFonts w:cs="Calibri"/>
              </w:rPr>
            </w:pPr>
            <w:r w:rsidRPr="00D56277">
              <w:rPr>
                <w:rFonts w:cs="Calibri"/>
              </w:rPr>
              <w:t xml:space="preserve">Si puede hacerlo, tu contrato está bien. Si tiene que preguntarte algo, </w:t>
            </w:r>
            <w:r w:rsidRPr="00D56277">
              <w:rPr>
                <w:rFonts w:cs="Calibri"/>
                <w:b/>
              </w:rPr>
              <w:t>eso que te preguntó es lo que falta declarar</w:t>
            </w:r>
            <w:r w:rsidRPr="00D56277">
              <w:rPr>
                <w:rFonts w:cs="Calibri"/>
              </w:rPr>
              <w:t xml:space="preserve"> — y es mejor descubrirlo hoy que en la semana de integración.</w:t>
            </w:r>
          </w:p>
        </w:tc>
      </w:tr>
    </w:tbl>
    <w:p w14:paraId="5061DA0E" w14:textId="77777777" w:rsidR="00D56277" w:rsidRDefault="00D56277" w:rsidP="00D56277">
      <w:pPr>
        <w:pStyle w:val="Ttulo2cap"/>
      </w:pPr>
      <w:bookmarkStart w:id="13" w:name="_Toc238750347"/>
      <w:r>
        <w:t>2.13. Seguridad y evolución</w:t>
      </w:r>
      <w:bookmarkEnd w:id="13"/>
    </w:p>
    <w:p w14:paraId="60B9EC9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>Tres consideraciones cierran el capítulo.</w:t>
      </w:r>
    </w:p>
    <w:p w14:paraId="7137A2C7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El modelo de salida es un control de seguridad, no una comodidad.</w:t>
      </w:r>
      <w:r w:rsidRPr="00D56277">
        <w:rPr>
          <w:rFonts w:cs="Calibri"/>
        </w:rPr>
        <w:t xml:space="preserve"> </w:t>
      </w:r>
      <w:r w:rsidRPr="00D56277">
        <w:rPr>
          <w:rFonts w:ascii="Consolas" w:hAnsi="Consolas" w:cs="Calibri"/>
          <w:sz w:val="20"/>
        </w:rPr>
        <w:t>response_model</w:t>
      </w:r>
      <w:r w:rsidRPr="00D56277">
        <w:rPr>
          <w:rFonts w:cs="Calibri"/>
        </w:rPr>
        <w:t xml:space="preserve"> filtra lo que sale aunque el objeto traiga de más. Sin él, cada campo que alguien agregue al modelo de datos </w:t>
      </w:r>
      <w:r w:rsidRPr="00D56277">
        <w:rPr>
          <w:rFonts w:cs="Calibri"/>
          <w:b/>
        </w:rPr>
        <w:t>empieza a viajar al cliente el día que se agrega</w:t>
      </w:r>
      <w:r w:rsidRPr="00D56277">
        <w:rPr>
          <w:rFonts w:cs="Calibri"/>
        </w:rPr>
        <w:t>, sin que nadie lo decida.</w:t>
      </w:r>
    </w:p>
    <w:p w14:paraId="5FFBC2F6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Los campos que el cliente no debería poder fijar no van en el modelo de entrada.</w:t>
      </w:r>
      <w:r w:rsidRPr="00D56277">
        <w:rPr>
          <w:rFonts w:cs="Calibri"/>
        </w:rPr>
        <w:t xml:space="preserve"> Es el mismo principio del lado contrario: si el modelo </w:t>
      </w:r>
      <w:r w:rsidRPr="00D56277">
        <w:rPr>
          <w:rFonts w:ascii="Consolas" w:hAnsi="Consolas" w:cs="Calibri"/>
          <w:sz w:val="20"/>
        </w:rPr>
        <w:t>Create</w:t>
      </w:r>
      <w:r w:rsidRPr="00D56277">
        <w:rPr>
          <w:rFonts w:cs="Calibri"/>
        </w:rPr>
        <w:t xml:space="preserve"> incluye </w:t>
      </w:r>
      <w:r w:rsidRPr="00D56277">
        <w:rPr>
          <w:rFonts w:ascii="Consolas" w:hAnsi="Consolas" w:cs="Calibri"/>
          <w:sz w:val="20"/>
        </w:rPr>
        <w:t>es_administrador</w:t>
      </w:r>
      <w:r w:rsidRPr="00D56277">
        <w:rPr>
          <w:rFonts w:cs="Calibri"/>
        </w:rPr>
        <w:t>, el cliente lo puede mandar. Y no hace falta que la interfaz lo ofrezca: alcanza con emitir la petición a mano, que es exactamente lo que hace quien quiere atacar el sistema.</w:t>
      </w:r>
    </w:p>
    <w:p w14:paraId="6AFE741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Un parámetro que nombra un campo de la base es una superficie de ataque.</w:t>
      </w:r>
      <w:r w:rsidRPr="00D56277">
        <w:rPr>
          <w:rFonts w:cs="Calibri"/>
        </w:rPr>
        <w:t xml:space="preserve"> El ordenamiento de la sección 2.9 recibe un nombre de campo del cliente; si ese nombre se interpola en una consulta sin validar contra una lista blanca, se abre la puerta a una inyección. Por eso el TPI exige que </w:t>
      </w:r>
      <w:r w:rsidRPr="00D56277">
        <w:rPr>
          <w:rFonts w:cs="Calibri"/>
          <w:b/>
        </w:rPr>
        <w:t>cada endpoint declare qué campos son ordenables</w:t>
      </w:r>
      <w:r w:rsidRPr="00D56277">
        <w:rPr>
          <w:rFonts w:cs="Calibri"/>
        </w:rPr>
        <w:t>: la lista blanca no es documentación, es la defensa.</w:t>
      </w:r>
    </w:p>
    <w:p w14:paraId="717D5EB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Sobre la evolución, dos observaciones. La primera es que el formato de error adoptado —la RFC 9457— es de 2023 y reemplazó a una norma anterior de 2016; elegir un estándar en lugar de un formato propio significa que </w:t>
      </w:r>
      <w:r w:rsidRPr="00D56277">
        <w:rPr>
          <w:rFonts w:cs="Calibri"/>
          <w:b/>
        </w:rPr>
        <w:t>el sistema se beneficia de esa evolución sin cambiar nada</w:t>
      </w:r>
      <w:r w:rsidRPr="00D56277">
        <w:rPr>
          <w:rFonts w:cs="Calibri"/>
        </w:rPr>
        <w:t>.</w:t>
      </w:r>
    </w:p>
    <w:p w14:paraId="51EC8E4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 segunda es que la validación declarativa está corriéndose hacia los bordes en todo el ecosistema: el mismo enfoque que acá valida una petición HTTP se usa para validar </w:t>
      </w:r>
      <w:r w:rsidRPr="00D56277">
        <w:rPr>
          <w:rFonts w:cs="Calibri"/>
        </w:rPr>
        <w:lastRenderedPageBreak/>
        <w:t xml:space="preserve">configuración, mensajes de una cola y respuestas de servicios externos. Lo que se aprende en esta clase </w:t>
      </w:r>
      <w:r w:rsidRPr="00D56277">
        <w:rPr>
          <w:rFonts w:cs="Calibri"/>
          <w:b/>
        </w:rPr>
        <w:t>no es específico de la web</w:t>
      </w:r>
      <w:r w:rsidRPr="00D56277">
        <w:rPr>
          <w:rFonts w:cs="Calibri"/>
        </w:rPr>
        <w:t>.</w:t>
      </w:r>
    </w:p>
    <w:p w14:paraId="1793CD2E" w14:textId="77777777" w:rsidR="00D56277" w:rsidRDefault="00D56277" w:rsidP="00D56277">
      <w:pPr>
        <w:pStyle w:val="Ttulo2cap"/>
      </w:pPr>
      <w:bookmarkStart w:id="14" w:name="_Toc238750348"/>
      <w:r>
        <w:t>2.14. Verificación</w:t>
      </w:r>
      <w:bookmarkEnd w:id="14"/>
    </w:p>
    <w:p w14:paraId="293A5ED6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Escribir un modelo con cinco restricciones distintas y </w:t>
      </w:r>
      <w:r w:rsidRPr="00D56277">
        <w:rPr>
          <w:rFonts w:cs="Calibri"/>
          <w:b/>
        </w:rPr>
        <w:t>verificar cada una</w:t>
      </w:r>
      <w:r w:rsidRPr="00D56277">
        <w:rPr>
          <w:rFonts w:cs="Calibri"/>
        </w:rPr>
        <w:t xml:space="preserve"> con un valor que la viole.</w:t>
      </w:r>
    </w:p>
    <w:p w14:paraId="785BB71A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Provocar un 422 y </w:t>
      </w:r>
      <w:r w:rsidRPr="00D56277">
        <w:rPr>
          <w:rFonts w:cs="Calibri"/>
          <w:b/>
        </w:rPr>
        <w:t>leer los cuatro campos</w:t>
      </w:r>
      <w:r w:rsidRPr="00D56277">
        <w:rPr>
          <w:rFonts w:cs="Calibri"/>
        </w:rPr>
        <w:t xml:space="preserve"> de su detalle, explicando qué aporta cada uno.</w:t>
      </w:r>
    </w:p>
    <w:p w14:paraId="61D5D57F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Mandar dos errores en la misma petición y verificar que </w:t>
      </w:r>
      <w:r w:rsidRPr="00D56277">
        <w:rPr>
          <w:rFonts w:cs="Calibri"/>
          <w:b/>
        </w:rPr>
        <w:t>se reportan los dos</w:t>
      </w:r>
      <w:r w:rsidRPr="00D56277">
        <w:rPr>
          <w:rFonts w:cs="Calibri"/>
        </w:rPr>
        <w:t>.</w:t>
      </w:r>
    </w:p>
    <w:p w14:paraId="62444EBD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Escribir los tres modelos segregados de una entidad y justificar </w:t>
      </w:r>
      <w:r w:rsidRPr="00D56277">
        <w:rPr>
          <w:rFonts w:cs="Calibri"/>
          <w:b/>
        </w:rPr>
        <w:t>campo por campo</w:t>
      </w:r>
      <w:r w:rsidRPr="00D56277">
        <w:rPr>
          <w:rFonts w:cs="Calibri"/>
        </w:rPr>
        <w:t xml:space="preserve"> por qué está o no está en cada uno.</w:t>
      </w:r>
    </w:p>
    <w:p w14:paraId="2865DD58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Implementar una actualización parcial con exclude_unset=True, y </w:t>
      </w:r>
      <w:r w:rsidRPr="00D56277">
        <w:rPr>
          <w:rFonts w:cs="Calibri"/>
          <w:b/>
        </w:rPr>
        <w:t>demostrar el bug</w:t>
      </w:r>
      <w:r w:rsidRPr="00D56277">
        <w:rPr>
          <w:rFonts w:cs="Calibri"/>
        </w:rPr>
        <w:t xml:space="preserve"> que aparece sin ese argumento.</w:t>
      </w:r>
    </w:p>
    <w:p w14:paraId="04A0F058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Declarar un importe como Decimal y verificar que </w:t>
      </w:r>
      <w:r w:rsidRPr="00D56277">
        <w:rPr>
          <w:rFonts w:cs="Calibri"/>
          <w:b/>
        </w:rPr>
        <w:t>sale como cadena</w:t>
      </w:r>
      <w:r w:rsidRPr="00D56277">
        <w:rPr>
          <w:rFonts w:cs="Calibri"/>
        </w:rPr>
        <w:t xml:space="preserve"> en el JSON.</w:t>
      </w:r>
    </w:p>
    <w:p w14:paraId="54B82B1B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Implementar el envoltorio de colección con paginación, y verificar que el total </w:t>
      </w:r>
      <w:r w:rsidRPr="00D56277">
        <w:rPr>
          <w:rFonts w:cs="Calibri"/>
          <w:b/>
        </w:rPr>
        <w:t>respeta un filtro activo</w:t>
      </w:r>
      <w:r w:rsidRPr="00D56277">
        <w:rPr>
          <w:rFonts w:cs="Calibri"/>
        </w:rPr>
        <w:t>.</w:t>
      </w:r>
    </w:p>
    <w:p w14:paraId="7990BC16" w14:textId="77777777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>Pedir una página más allá del máximo y verificar que responde 422.</w:t>
      </w:r>
    </w:p>
    <w:p w14:paraId="571CC8E6" w14:textId="5D7BEF78" w:rsidR="00D56277" w:rsidRPr="00D56277" w:rsidRDefault="00D56277" w:rsidP="00D56277">
      <w:pPr>
        <w:pStyle w:val="Cuerpocap"/>
        <w:numPr>
          <w:ilvl w:val="0"/>
          <w:numId w:val="5"/>
        </w:numPr>
        <w:spacing w:after="80"/>
        <w:rPr>
          <w:rFonts w:cs="Calibri"/>
        </w:rPr>
      </w:pPr>
      <w:r w:rsidRPr="00D56277">
        <w:rPr>
          <w:rFonts w:cs="Calibri"/>
        </w:rPr>
        <w:t xml:space="preserve">Devolver un objeto con un campo de más y </w:t>
      </w:r>
      <w:r w:rsidRPr="00D56277">
        <w:rPr>
          <w:rFonts w:cs="Calibri"/>
          <w:b/>
        </w:rPr>
        <w:t>verificar que response_model lo filtra</w:t>
      </w:r>
      <w:r w:rsidRPr="00D56277">
        <w:rPr>
          <w:rFonts w:cs="Calibri"/>
        </w:rPr>
        <w:t>.</w:t>
      </w:r>
    </w:p>
    <w:p w14:paraId="419B63E2" w14:textId="77777777" w:rsidR="00D56277" w:rsidRDefault="00D56277" w:rsidP="00D56277">
      <w:pPr>
        <w:pStyle w:val="Ttulo2cap"/>
      </w:pPr>
      <w:bookmarkStart w:id="15" w:name="_Toc238750349"/>
      <w:r w:rsidRPr="00D56277">
        <w:t>2.15. Errores frecuentes</w:t>
      </w:r>
      <w:bookmarkEnd w:id="15"/>
    </w:p>
    <w:p w14:paraId="711B162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Usar un solo modelo para entrada y salida.</w:t>
      </w:r>
      <w:r w:rsidRPr="00D56277">
        <w:rPr>
          <w:rFonts w:cs="Calibri"/>
        </w:rPr>
        <w:t xml:space="preserve"> Obliga a declarar opcionales campos que el servidor genera, y expone campos que no deberían salir (sección 2.5).</w:t>
      </w:r>
    </w:p>
    <w:p w14:paraId="7289EC7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Olvidar </w:t>
      </w:r>
      <w:r w:rsidRPr="00D56277">
        <w:rPr>
          <w:rFonts w:ascii="Consolas" w:hAnsi="Consolas" w:cs="Calibri"/>
          <w:b/>
          <w:sz w:val="20"/>
        </w:rPr>
        <w:t>exclude_unset=True</w:t>
      </w:r>
      <w:r w:rsidRPr="00D56277">
        <w:rPr>
          <w:rFonts w:cs="Calibri"/>
          <w:b/>
        </w:rPr>
        <w:t xml:space="preserve"> en una actualización parcial.</w:t>
      </w:r>
      <w:r w:rsidRPr="00D56277">
        <w:rPr>
          <w:rFonts w:cs="Calibri"/>
        </w:rPr>
        <w:t xml:space="preserve"> Borra silenciosamente todos los campos que el cliente no mandó, y responde </w:t>
      </w:r>
      <w:r w:rsidRPr="00D56277">
        <w:rPr>
          <w:rFonts w:ascii="Consolas" w:hAnsi="Consolas" w:cs="Calibri"/>
          <w:sz w:val="20"/>
        </w:rPr>
        <w:t>200</w:t>
      </w:r>
      <w:r w:rsidRPr="00D56277">
        <w:rPr>
          <w:rFonts w:cs="Calibri"/>
        </w:rPr>
        <w:t xml:space="preserve"> (sección 2.6).</w:t>
      </w:r>
    </w:p>
    <w:p w14:paraId="56970D8C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Confundir "puede ser nulo" con "se puede omitir".</w:t>
      </w:r>
      <w:r w:rsidRPr="00D56277">
        <w:rPr>
          <w:rFonts w:cs="Calibri"/>
        </w:rPr>
        <w:t xml:space="preserve"> El tipo dice qué valores admite; el valor por defecto dice si es obligatorio (sección 2.3).</w:t>
      </w:r>
    </w:p>
    <w:p w14:paraId="3E63CDC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Declarar un importe como </w:t>
      </w:r>
      <w:r w:rsidRPr="00D56277">
        <w:rPr>
          <w:rFonts w:ascii="Consolas" w:hAnsi="Consolas" w:cs="Calibri"/>
          <w:b/>
          <w:sz w:val="20"/>
        </w:rPr>
        <w:t>float</w:t>
      </w:r>
      <w:r w:rsidRPr="00D56277">
        <w:rPr>
          <w:rFonts w:cs="Calibri"/>
          <w:b/>
        </w:rPr>
        <w:t>.</w:t>
      </w:r>
      <w:r w:rsidRPr="00D56277">
        <w:rPr>
          <w:rFonts w:cs="Calibri"/>
        </w:rPr>
        <w:t xml:space="preserve"> Reintroduce el error de punto flotante que </w:t>
      </w:r>
      <w:r w:rsidRPr="00D56277">
        <w:rPr>
          <w:rFonts w:ascii="Consolas" w:hAnsi="Consolas" w:cs="Calibri"/>
          <w:sz w:val="20"/>
        </w:rPr>
        <w:t>Decimal</w:t>
      </w:r>
      <w:r w:rsidRPr="00D56277">
        <w:rPr>
          <w:rFonts w:cs="Calibri"/>
        </w:rPr>
        <w:t xml:space="preserve"> evita (sección 2.7).</w:t>
      </w:r>
    </w:p>
    <w:p w14:paraId="663680CE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Devolver el importe como número JSON.</w:t>
      </w:r>
      <w:r w:rsidRPr="00D56277">
        <w:rPr>
          <w:rFonts w:cs="Calibri"/>
        </w:rPr>
        <w:t xml:space="preserve"> El cliente lo convierte a punto flotante al parsearlo, y la precisión se pierde del otro lado (sección 2.7).</w:t>
      </w:r>
    </w:p>
    <w:p w14:paraId="4E6A0E9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Usar </w:t>
      </w:r>
      <w:r w:rsidRPr="00D56277">
        <w:rPr>
          <w:rFonts w:ascii="Consolas" w:hAnsi="Consolas" w:cs="Calibri"/>
          <w:b/>
          <w:sz w:val="20"/>
        </w:rPr>
        <w:t>PUT</w:t>
      </w:r>
      <w:r w:rsidRPr="00D56277">
        <w:rPr>
          <w:rFonts w:cs="Calibri"/>
          <w:b/>
        </w:rPr>
        <w:t xml:space="preserve"> para una modificación parcial.</w:t>
      </w:r>
      <w:r w:rsidRPr="00D56277">
        <w:rPr>
          <w:rFonts w:cs="Calibri"/>
        </w:rPr>
        <w:t xml:space="preserve"> Reemplaza el recurso completo, así que los campos ausentes se borran. El TPI directamente no usa </w:t>
      </w:r>
      <w:r w:rsidRPr="00D56277">
        <w:rPr>
          <w:rFonts w:ascii="Consolas" w:hAnsi="Consolas" w:cs="Calibri"/>
          <w:sz w:val="20"/>
        </w:rPr>
        <w:t>PUT</w:t>
      </w:r>
      <w:r w:rsidRPr="00D56277">
        <w:rPr>
          <w:rFonts w:cs="Calibri"/>
        </w:rPr>
        <w:t xml:space="preserve"> (sección 2.8).</w:t>
      </w:r>
    </w:p>
    <w:p w14:paraId="6D66349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Tratar </w:t>
      </w:r>
      <w:r w:rsidRPr="00D56277">
        <w:rPr>
          <w:rFonts w:ascii="Consolas" w:hAnsi="Consolas" w:cs="Calibri"/>
          <w:b/>
          <w:sz w:val="20"/>
        </w:rPr>
        <w:t>401</w:t>
      </w:r>
      <w:r w:rsidRPr="00D56277">
        <w:rPr>
          <w:rFonts w:cs="Calibri"/>
          <w:b/>
        </w:rPr>
        <w:t xml:space="preserve"> y </w:t>
      </w:r>
      <w:r w:rsidRPr="00D56277">
        <w:rPr>
          <w:rFonts w:ascii="Consolas" w:hAnsi="Consolas" w:cs="Calibri"/>
          <w:b/>
          <w:sz w:val="20"/>
        </w:rPr>
        <w:t>403</w:t>
      </w:r>
      <w:r w:rsidRPr="00D56277">
        <w:rPr>
          <w:rFonts w:cs="Calibri"/>
          <w:b/>
        </w:rPr>
        <w:t xml:space="preserve"> como lo mismo.</w:t>
      </w:r>
      <w:r w:rsidRPr="00D56277">
        <w:rPr>
          <w:rFonts w:cs="Calibri"/>
        </w:rPr>
        <w:t xml:space="preserve"> Manda al login a alguien que ya inició sesión (sección 2.8).</w:t>
      </w:r>
    </w:p>
    <w:p w14:paraId="6B7324EA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Devolver una lista suelta en lugar del envoltorio.</w:t>
      </w:r>
      <w:r w:rsidRPr="00D56277">
        <w:rPr>
          <w:rFonts w:cs="Calibri"/>
        </w:rPr>
        <w:t xml:space="preserve"> El cliente no puede dibujar un paginador sin el total y las páginas (sección 2.9).</w:t>
      </w:r>
    </w:p>
    <w:p w14:paraId="6912F0C9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Calcular el </w:t>
      </w:r>
      <w:r w:rsidRPr="00D56277">
        <w:rPr>
          <w:rFonts w:ascii="Consolas" w:hAnsi="Consolas" w:cs="Calibri"/>
          <w:b/>
          <w:sz w:val="20"/>
        </w:rPr>
        <w:t>total</w:t>
      </w:r>
      <w:r w:rsidRPr="00D56277">
        <w:rPr>
          <w:rFonts w:cs="Calibri"/>
          <w:b/>
        </w:rPr>
        <w:t xml:space="preserve"> sin los filtros activos.</w:t>
      </w:r>
      <w:r w:rsidRPr="00D56277">
        <w:rPr>
          <w:rFonts w:cs="Calibri"/>
        </w:rPr>
        <w:t xml:space="preserve"> El paginador miente (sección 2.9).</w:t>
      </w:r>
    </w:p>
    <w:p w14:paraId="1491A4AD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lastRenderedPageBreak/>
        <w:t>No limitar el tamaño de página.</w:t>
      </w:r>
      <w:r w:rsidRPr="00D56277">
        <w:rPr>
          <w:rFonts w:cs="Calibri"/>
        </w:rPr>
        <w:t xml:space="preserve"> Un cliente puede pedir un millón de registros, y alcanza con un error de tipeo (sección 2.9).</w:t>
      </w:r>
    </w:p>
    <w:p w14:paraId="7986F99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Interpolar el campo de ordenamiento sin lista blanca.</w:t>
      </w:r>
      <w:r w:rsidRPr="00D56277">
        <w:rPr>
          <w:rFonts w:cs="Calibri"/>
        </w:rPr>
        <w:t xml:space="preserve"> Es una superficie de inyección (secciones 2.9 y 2.13).</w:t>
      </w:r>
    </w:p>
    <w:p w14:paraId="12E2E5E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Distinguir errores por el texto del mensaje.</w:t>
      </w:r>
      <w:r w:rsidRPr="00D56277">
        <w:rPr>
          <w:rFonts w:cs="Calibri"/>
        </w:rPr>
        <w:t xml:space="preserve"> Se rompe cuando alguien corrige la redacción. Para eso está el código (sección 2.10).</w:t>
      </w:r>
    </w:p>
    <w:p w14:paraId="13816680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 xml:space="preserve">Omitir </w:t>
      </w:r>
      <w:r w:rsidRPr="00D56277">
        <w:rPr>
          <w:rFonts w:ascii="Consolas" w:hAnsi="Consolas" w:cs="Calibri"/>
          <w:b/>
          <w:sz w:val="20"/>
        </w:rPr>
        <w:t>response_model</w:t>
      </w:r>
      <w:r w:rsidRPr="00D56277">
        <w:rPr>
          <w:rFonts w:cs="Calibri"/>
          <w:b/>
        </w:rPr>
        <w:t>.</w:t>
      </w:r>
      <w:r w:rsidRPr="00D56277">
        <w:rPr>
          <w:rFonts w:cs="Calibri"/>
        </w:rPr>
        <w:t xml:space="preserve"> Cada campo que se agregue al modelo de datos empieza a viajar al cliente sin que nadie lo decida (sección 2.13).</w:t>
      </w:r>
    </w:p>
    <w:p w14:paraId="6313D5B8" w14:textId="77777777" w:rsidR="00D56277" w:rsidRDefault="00D56277" w:rsidP="00D56277">
      <w:pPr>
        <w:pStyle w:val="Ttulo2cap"/>
      </w:pPr>
      <w:bookmarkStart w:id="16" w:name="_Toc238750350"/>
      <w:r>
        <w:t>2.16. Actividades</w:t>
      </w:r>
      <w:bookmarkEnd w:id="16"/>
    </w:p>
    <w:p w14:paraId="70BA62F7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Los tres modelos.</w:t>
      </w:r>
      <w:r w:rsidRPr="00D56277">
        <w:rPr>
          <w:rFonts w:cs="Calibri"/>
        </w:rPr>
        <w:t xml:space="preserve"> Tomar la entidad Producto de la sección 7 del TPI y escribir sus tres modelos segregados completos, con todas las restricciones que el documento declara. Justificar campo por campo su presencia o ausencia en cada uno.</w:t>
      </w:r>
    </w:p>
    <w:p w14:paraId="61D245BD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El bug del model_dump.</w:t>
      </w:r>
      <w:r w:rsidRPr="00D56277">
        <w:rPr>
          <w:rFonts w:cs="Calibri"/>
        </w:rPr>
        <w:t xml:space="preserve"> Implementar una actualización parcial de las dos formas —con y sin exclude_unset—, ejecutar la misma petición contra ambas y documentar el resultado. Explicar por qué la versión incorrecta responde 200.</w:t>
      </w:r>
    </w:p>
    <w:p w14:paraId="2F2264E3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El contrato completo de un módulo.</w:t>
      </w:r>
      <w:r w:rsidRPr="00D56277">
        <w:rPr>
          <w:rFonts w:cs="Calibri"/>
        </w:rPr>
        <w:t xml:space="preserve"> Implementar el CRUD en memoria del módulo categorias del TPI, con los verbos correctos, los códigos de estado de la sección 2.8, el envoltorio de colección y el ordenamiento. Exportar la especificación y </w:t>
      </w:r>
      <w:r w:rsidRPr="00D56277">
        <w:rPr>
          <w:rFonts w:cs="Calibri"/>
          <w:b/>
        </w:rPr>
        <w:t>compararla con la tabla de la sección 6.5 del TPI</w:t>
      </w:r>
      <w:r w:rsidRPr="00D56277">
        <w:rPr>
          <w:rFonts w:cs="Calibri"/>
        </w:rPr>
        <w:t>.</w:t>
      </w:r>
    </w:p>
    <w:p w14:paraId="796A2358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El dinero de punta a punta.</w:t>
      </w:r>
      <w:r w:rsidRPr="00D56277">
        <w:rPr>
          <w:rFonts w:cs="Calibri"/>
        </w:rPr>
        <w:t xml:space="preserve"> Escribir un endpoint que devuelva un importe y verificar en el JSON crudo que sale como cadena. Después, en la consola del navegador, hacer JSON.parse de esa respuesta y comprobar qué tipo llega. Repetir declarando el importe como número y </w:t>
      </w:r>
      <w:r w:rsidRPr="00D56277">
        <w:rPr>
          <w:rFonts w:cs="Calibri"/>
          <w:b/>
        </w:rPr>
        <w:t>documentar la diferencia</w:t>
      </w:r>
      <w:r w:rsidRPr="00D56277">
        <w:rPr>
          <w:rFonts w:cs="Calibri"/>
        </w:rPr>
        <w:t>.</w:t>
      </w:r>
    </w:p>
    <w:p w14:paraId="34EF98A7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Errores con código.</w:t>
      </w:r>
      <w:r w:rsidRPr="00D56277">
        <w:rPr>
          <w:rFonts w:cs="Calibri"/>
        </w:rPr>
        <w:t xml:space="preserve"> Definir cinco códigos de error propios para el módulo de productos, en el formato de la RFC 9457, y escribir el cliente mínimo que distinga entre ellos </w:t>
      </w:r>
      <w:r w:rsidRPr="00D56277">
        <w:rPr>
          <w:rFonts w:cs="Calibri"/>
          <w:b/>
        </w:rPr>
        <w:t>sin leer el texto del mensaje</w:t>
      </w:r>
      <w:r w:rsidRPr="00D56277">
        <w:rPr>
          <w:rFonts w:cs="Calibri"/>
        </w:rPr>
        <w:t>.</w:t>
      </w:r>
    </w:p>
    <w:p w14:paraId="3C33C41F" w14:textId="7777777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  <w:i/>
        </w:rPr>
      </w:pPr>
      <w:r w:rsidRPr="00D56277">
        <w:rPr>
          <w:rFonts w:cs="Calibri"/>
          <w:b/>
        </w:rPr>
        <w:t>Exploración: el contrato como interfaz entre equipos.</w:t>
      </w:r>
      <w:r w:rsidRPr="00D56277">
        <w:rPr>
          <w:rFonts w:cs="Calibri"/>
        </w:rPr>
        <w:t xml:space="preserve"> Junto con alguien del turno de frontend, implementar un endpoint y pedirle que escriba el cliente </w:t>
      </w:r>
      <w:r w:rsidRPr="00D56277">
        <w:rPr>
          <w:rFonts w:cs="Calibri"/>
          <w:b/>
        </w:rPr>
        <w:t>usando únicamente la documentación interactiva</w:t>
      </w:r>
      <w:r w:rsidRPr="00D56277">
        <w:rPr>
          <w:rFonts w:cs="Calibri"/>
        </w:rPr>
        <w:t xml:space="preserve">, sin conversar. Documentar cada pregunta que hizo falta hacer igual, y para cada una, qué habría que declarar en el schema para que no hiciera falta. </w:t>
      </w:r>
      <w:r w:rsidRPr="00D56277">
        <w:rPr>
          <w:rFonts w:cs="Calibri"/>
          <w:i/>
        </w:rPr>
        <w:t>(Requiere coordinar con la otra mitad de la cursada.)</w:t>
      </w:r>
    </w:p>
    <w:p w14:paraId="21CA5803" w14:textId="3233CAD7" w:rsidR="00D56277" w:rsidRPr="00D56277" w:rsidRDefault="00D56277" w:rsidP="00D56277">
      <w:pPr>
        <w:pStyle w:val="Cuerpocap"/>
        <w:numPr>
          <w:ilvl w:val="0"/>
          <w:numId w:val="7"/>
        </w:numPr>
        <w:spacing w:after="80"/>
        <w:rPr>
          <w:rFonts w:cs="Calibri"/>
        </w:rPr>
      </w:pPr>
      <w:r w:rsidRPr="00D56277">
        <w:rPr>
          <w:rFonts w:cs="Calibri"/>
          <w:b/>
        </w:rPr>
        <w:t>Exploración: los límites de la coerción.</w:t>
      </w:r>
      <w:r w:rsidRPr="00D56277">
        <w:rPr>
          <w:rFonts w:cs="Calibri"/>
        </w:rPr>
        <w:t xml:space="preserve"> Para un modelo con campos de tipo int, bool, Decimal y datetime, probar diez entradas ambiguas y documentar cuáles se aceptan y a qué valor se convierten. Repetir en modo estricto y comparar. Relacionar lo observado con la decisión de la sección 2.7 sobre por qué los importes viajan como cadena.</w:t>
      </w:r>
    </w:p>
    <w:p w14:paraId="2D8D394F" w14:textId="77777777" w:rsidR="00D56277" w:rsidRDefault="00D56277" w:rsidP="00D56277">
      <w:pPr>
        <w:pStyle w:val="Ttulo2cap"/>
      </w:pPr>
      <w:bookmarkStart w:id="17" w:name="_Toc238750351"/>
      <w:r w:rsidRPr="00D56277">
        <w:t>2.17. Síntesis</w:t>
      </w:r>
      <w:bookmarkEnd w:id="17"/>
    </w:p>
    <w:p w14:paraId="2AC10FDC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La historia del contrato entre sistemas tiene tres etapas, y cada una </w:t>
      </w:r>
      <w:r w:rsidRPr="00D56277">
        <w:rPr>
          <w:rFonts w:cs="Calibri"/>
          <w:b/>
        </w:rPr>
        <w:t>resignó algo distinto</w:t>
      </w:r>
      <w:r w:rsidRPr="00D56277">
        <w:rPr>
          <w:rFonts w:cs="Calibri"/>
        </w:rPr>
        <w:t xml:space="preserve">: el contrato generado eliminó el desajuste al precio de que nada pudiera </w:t>
      </w:r>
      <w:r w:rsidRPr="00D56277">
        <w:rPr>
          <w:rFonts w:cs="Calibri"/>
        </w:rPr>
        <w:lastRenderedPageBreak/>
        <w:t>moverse; REST recuperó la flexibilidad perdiendo la garantía; la especificación derivada del código busca las dos cosas.</w:t>
      </w:r>
    </w:p>
    <w:p w14:paraId="2D8AC3B9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  <w:b/>
        </w:rPr>
        <w:t>Declarar es validar.</w:t>
      </w:r>
      <w:r w:rsidRPr="00D56277">
        <w:rPr>
          <w:rFonts w:cs="Calibri"/>
        </w:rPr>
        <w:t xml:space="preserve"> Las anotaciones de tipo dejaron de ser documentación y pasaron a ser comportamiento: validan, convierten y documentan a la vez.</w:t>
      </w:r>
    </w:p>
    <w:p w14:paraId="12B4993A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La validación ocurre </w:t>
      </w:r>
      <w:r w:rsidRPr="00D56277">
        <w:rPr>
          <w:rFonts w:cs="Calibri"/>
          <w:b/>
        </w:rPr>
        <w:t>antes</w:t>
      </w:r>
      <w:r w:rsidRPr="00D56277">
        <w:rPr>
          <w:rFonts w:cs="Calibri"/>
        </w:rPr>
        <w:t xml:space="preserve"> del handler y reporta </w:t>
      </w:r>
      <w:r w:rsidRPr="00D56277">
        <w:rPr>
          <w:rFonts w:cs="Calibri"/>
          <w:b/>
        </w:rPr>
        <w:t>todos</w:t>
      </w:r>
      <w:r w:rsidRPr="00D56277">
        <w:rPr>
          <w:rFonts w:cs="Calibri"/>
        </w:rPr>
        <w:t xml:space="preserve"> los errores que encuentra, no el primero.</w:t>
      </w:r>
    </w:p>
    <w:p w14:paraId="4AEFD425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La coerción es deliberada —de una URL todo llega como texto— y tiene una contracara: </w:t>
      </w:r>
      <w:r w:rsidRPr="00D56277">
        <w:rPr>
          <w:rFonts w:cs="Calibri"/>
          <w:b/>
        </w:rPr>
        <w:t>puede disimular un error del cliente</w:t>
      </w:r>
      <w:r w:rsidRPr="00D56277">
        <w:rPr>
          <w:rFonts w:cs="Calibri"/>
        </w:rPr>
        <w:t>.</w:t>
      </w:r>
    </w:p>
    <w:p w14:paraId="20B2BF80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>El tipo dice qué valores admite; el valor por defecto dice si es obligatorio. Son dos cosas distintas y confundirlas rompe la actualización parcial.</w:t>
      </w:r>
    </w:p>
    <w:p w14:paraId="178AE147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Hacen falta </w:t>
      </w:r>
      <w:r w:rsidRPr="00D56277">
        <w:rPr>
          <w:rFonts w:cs="Calibri"/>
          <w:b/>
        </w:rPr>
        <w:t>tres modelos y no uno</w:t>
      </w:r>
      <w:r w:rsidRPr="00D56277">
        <w:rPr>
          <w:rFonts w:cs="Calibri"/>
        </w:rPr>
        <w:t>: lo que el cliente aporta, lo que puede cambiar y lo que se le muestra. Un modelo compartido obliga a mentir en la especificación y expone campos que no deben salir.</w:t>
      </w:r>
    </w:p>
    <w:p w14:paraId="0830FA11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  <w:b/>
        </w:rPr>
        <w:t>exclude_unset=True separa una actualización parcial de un borrado silencioso.</w:t>
      </w:r>
      <w:r w:rsidRPr="00D56277">
        <w:rPr>
          <w:rFonts w:cs="Calibri"/>
        </w:rPr>
        <w:t xml:space="preserve"> Sin él, los campos que el cliente no mandó se pisan con nulo, y la respuesta es 200.</w:t>
      </w:r>
    </w:p>
    <w:p w14:paraId="13E6E631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  <w:b/>
        </w:rPr>
        <w:t>El dinero es Decimal adentro y cadena afuera</w:t>
      </w:r>
      <w:r w:rsidRPr="00D56277">
        <w:rPr>
          <w:rFonts w:cs="Calibri"/>
        </w:rPr>
        <w:t>, y las dos mitades tienen su razón: exactitud del lado del servidor, y que el cliente no lo convierta a punto flotante al parsearlo.</w:t>
      </w:r>
    </w:p>
    <w:p w14:paraId="11B1D276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El TPI </w:t>
      </w:r>
      <w:r w:rsidRPr="00D56277">
        <w:rPr>
          <w:rFonts w:cs="Calibri"/>
          <w:b/>
        </w:rPr>
        <w:t>no usa PUT</w:t>
      </w:r>
      <w:r w:rsidRPr="00D56277">
        <w:rPr>
          <w:rFonts w:cs="Calibri"/>
        </w:rPr>
        <w:t>, porque reemplazar el recurso completo borra lo que no se mandó. PATCH es el verbo de toda actualización.</w:t>
      </w:r>
    </w:p>
    <w:p w14:paraId="33B6879C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>Un mensaje de error es para una persona y un código es para un programa. Hacen falta los dos, y comparar textos es frágil.</w:t>
      </w:r>
    </w:p>
    <w:p w14:paraId="6E0EAE1F" w14:textId="77777777" w:rsidR="00D56277" w:rsidRPr="00D56277" w:rsidRDefault="00D56277" w:rsidP="00D56277">
      <w:pPr>
        <w:pStyle w:val="Cuerpocap"/>
        <w:numPr>
          <w:ilvl w:val="0"/>
          <w:numId w:val="8"/>
        </w:numPr>
        <w:spacing w:after="80"/>
        <w:rPr>
          <w:rFonts w:cs="Calibri"/>
        </w:rPr>
      </w:pPr>
      <w:r w:rsidRPr="00D56277">
        <w:rPr>
          <w:rFonts w:cs="Calibri"/>
        </w:rPr>
        <w:t xml:space="preserve">El </w:t>
      </w:r>
      <w:r w:rsidRPr="00D56277">
        <w:rPr>
          <w:rFonts w:cs="Calibri"/>
          <w:b/>
        </w:rPr>
        <w:t>identificador de petición</w:t>
      </w:r>
      <w:r w:rsidRPr="00D56277">
        <w:rPr>
          <w:rFonts w:cs="Calibri"/>
        </w:rPr>
        <w:t xml:space="preserve"> convierte miles de líneas de registro en las diez que corresponden a un problema concreto, y viaja hasta las tareas que esa petición encoló.</w:t>
      </w:r>
    </w:p>
    <w:p w14:paraId="0898F6E9" w14:textId="77777777" w:rsidR="00D56277" w:rsidRDefault="00D56277" w:rsidP="00D56277">
      <w:pPr>
        <w:pStyle w:val="Ttulo2cap"/>
      </w:pPr>
      <w:bookmarkStart w:id="18" w:name="_Toc238750352"/>
      <w:r>
        <w:t>2.18. Referencias y lecturas complementarias</w:t>
      </w:r>
      <w:bookmarkEnd w:id="18"/>
    </w:p>
    <w:p w14:paraId="4C167011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Las fuentes normativas de este capítulo son tres. El formato de error corresponde a la </w:t>
      </w:r>
      <w:r w:rsidRPr="00D56277">
        <w:rPr>
          <w:rFonts w:cs="Calibri"/>
          <w:b/>
        </w:rPr>
        <w:t>RFC 9457</w:t>
      </w:r>
      <w:r w:rsidRPr="00D56277">
        <w:rPr>
          <w:rFonts w:cs="Calibri"/>
        </w:rPr>
        <w:t xml:space="preserve">, </w:t>
      </w:r>
      <w:r w:rsidRPr="00D56277">
        <w:rPr>
          <w:rFonts w:cs="Calibri"/>
          <w:i/>
        </w:rPr>
        <w:t>Problem Details for HTTP APIs</w:t>
      </w:r>
      <w:r w:rsidRPr="00D56277">
        <w:rPr>
          <w:rFonts w:cs="Calibri"/>
        </w:rPr>
        <w:t xml:space="preserve"> (2023), que reemplazó a la RFC 7807 y define los campos que el TPI adopta en su sección 6.1. Los códigos de estado y la semántica de los métodos están en la </w:t>
      </w:r>
      <w:r w:rsidRPr="00D56277">
        <w:rPr>
          <w:rFonts w:cs="Calibri"/>
          <w:b/>
        </w:rPr>
        <w:t>RFC 9110</w:t>
      </w:r>
      <w:r w:rsidRPr="00D56277">
        <w:rPr>
          <w:rFonts w:cs="Calibri"/>
        </w:rPr>
        <w:t xml:space="preserve">, ya citada por la otra mitad de la cursada; su sección sobre </w:t>
      </w:r>
      <w:r w:rsidRPr="00D56277">
        <w:rPr>
          <w:rFonts w:ascii="Consolas" w:hAnsi="Consolas" w:cs="Calibri"/>
          <w:sz w:val="20"/>
        </w:rPr>
        <w:t>PATCH</w:t>
      </w:r>
      <w:r w:rsidRPr="00D56277">
        <w:rPr>
          <w:rFonts w:cs="Calibri"/>
        </w:rPr>
        <w:t xml:space="preserve"> remite a la </w:t>
      </w:r>
      <w:r w:rsidRPr="00D56277">
        <w:rPr>
          <w:rFonts w:cs="Calibri"/>
          <w:b/>
        </w:rPr>
        <w:t>RFC 5789</w:t>
      </w:r>
      <w:r w:rsidRPr="00D56277">
        <w:rPr>
          <w:rFonts w:cs="Calibri"/>
        </w:rPr>
        <w:t xml:space="preserve">, que lo introdujo y explica en qué se diferencia de </w:t>
      </w:r>
      <w:r w:rsidRPr="00D56277">
        <w:rPr>
          <w:rFonts w:ascii="Consolas" w:hAnsi="Consolas" w:cs="Calibri"/>
          <w:sz w:val="20"/>
        </w:rPr>
        <w:t>PUT</w:t>
      </w:r>
      <w:r w:rsidRPr="00D56277">
        <w:rPr>
          <w:rFonts w:cs="Calibri"/>
        </w:rPr>
        <w:t xml:space="preserve">. Y el formato de la especificación que el marco de trabajo genera es </w:t>
      </w:r>
      <w:r w:rsidRPr="00D56277">
        <w:rPr>
          <w:rFonts w:cs="Calibri"/>
          <w:b/>
        </w:rPr>
        <w:t>OpenAPI 3.1</w:t>
      </w:r>
      <w:r w:rsidRPr="00D56277">
        <w:rPr>
          <w:rFonts w:cs="Calibri"/>
        </w:rPr>
        <w:t xml:space="preserve">, mantenido por la OpenAPI Initiative y alineado desde esa versión con </w:t>
      </w:r>
      <w:r w:rsidRPr="00D56277">
        <w:rPr>
          <w:rFonts w:cs="Calibri"/>
          <w:b/>
        </w:rPr>
        <w:t>JSON Schema</w:t>
      </w:r>
      <w:r w:rsidRPr="00D56277">
        <w:rPr>
          <w:rFonts w:cs="Calibri"/>
        </w:rPr>
        <w:t>, cuya especificación conviene tener a mano para entender cómo se traduce cada restricción.</w:t>
      </w:r>
    </w:p>
    <w:p w14:paraId="1A65471F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Como documentación de referencia, la de </w:t>
      </w:r>
      <w:r w:rsidRPr="00D56277">
        <w:rPr>
          <w:rFonts w:cs="Calibri"/>
          <w:b/>
        </w:rPr>
        <w:t>Pydantic</w:t>
      </w:r>
      <w:r w:rsidRPr="00D56277">
        <w:rPr>
          <w:rFonts w:cs="Calibri"/>
        </w:rPr>
        <w:t xml:space="preserve"> en </w:t>
      </w:r>
      <w:r w:rsidRPr="00D56277">
        <w:rPr>
          <w:rFonts w:ascii="Consolas" w:hAnsi="Consolas" w:cs="Calibri"/>
          <w:sz w:val="20"/>
        </w:rPr>
        <w:t>docs.pydantic.dev</w:t>
      </w:r>
      <w:r w:rsidRPr="00D56277">
        <w:rPr>
          <w:rFonts w:cs="Calibri"/>
        </w:rPr>
        <w:t xml:space="preserve"> es la fuente para todo lo de las secciones 2.3 a 2.6, y su página sobre modos de validación explica con precisión qué convierte y qué no. La documentación de FastAPI sobre modelos de respuesta y sobre parámetros de consulta cubre lo que acá se trató en las secciones 2.5 y 2.9. Para el contexto histórico de la sección 2.2, la entrada del proyecto OpenAPI sobre su propia historia documenta el paso de Swagger a la Linux Foundation en 2015.</w:t>
      </w:r>
    </w:p>
    <w:p w14:paraId="298A8163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lastRenderedPageBreak/>
        <w:t xml:space="preserve">Como bibliografía de estudio, el capítulo sobre diseño de APIs de Masse, </w:t>
      </w:r>
      <w:r w:rsidRPr="00D56277">
        <w:rPr>
          <w:rFonts w:cs="Calibri"/>
          <w:i/>
        </w:rPr>
        <w:t>REST API Design Rulebook</w:t>
      </w:r>
      <w:r w:rsidRPr="00D56277">
        <w:rPr>
          <w:rFonts w:cs="Calibri"/>
        </w:rPr>
        <w:t xml:space="preserve"> (O'Reilly, 2011) sigue siendo útil para las convenciones de la sección 2.9, aunque conviene leerlo sabiendo que es anterior a OpenAPI. Y para el problema general de la evolución de contratos entre servicios, el capítulo cuarto de Kleppmann, </w:t>
      </w:r>
      <w:r w:rsidRPr="00D56277">
        <w:rPr>
          <w:rFonts w:cs="Calibri"/>
          <w:i/>
        </w:rPr>
        <w:t>Designing Data-Intensive Applications</w:t>
      </w:r>
      <w:r w:rsidRPr="00D56277">
        <w:rPr>
          <w:rFonts w:cs="Calibri"/>
        </w:rPr>
        <w:t xml:space="preserve"> (O'Reilly, 2017) trata la compatibilidad hacia adelante y hacia atrás con una profundidad que excede este módulo pero que responde la pregunta que todo el mundo hace al final de esta clase: qué pasa cuando el contrato tiene que cambiar.</w:t>
      </w:r>
    </w:p>
    <w:p w14:paraId="3A515B7B" w14:textId="77777777" w:rsid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</w:rPr>
        <w:t xml:space="preserve">Del TPI, este capítulo se apoya en la sección </w:t>
      </w:r>
      <w:r w:rsidRPr="00D56277">
        <w:rPr>
          <w:rFonts w:cs="Calibri"/>
          <w:b/>
        </w:rPr>
        <w:t>6.1</w:t>
      </w:r>
      <w:r w:rsidRPr="00D56277">
        <w:rPr>
          <w:rFonts w:cs="Calibri"/>
        </w:rPr>
        <w:t xml:space="preserve"> —las convenciones globales, que conviene leer entera y tener a mano—, en la sección </w:t>
      </w:r>
      <w:r w:rsidRPr="00D56277">
        <w:rPr>
          <w:rFonts w:cs="Calibri"/>
          <w:b/>
        </w:rPr>
        <w:t>7</w:t>
      </w:r>
      <w:r w:rsidRPr="00D56277">
        <w:rPr>
          <w:rFonts w:cs="Calibri"/>
        </w:rPr>
        <w:t xml:space="preserve"> con los schemas de cada módulo, y en la </w:t>
      </w:r>
      <w:r w:rsidRPr="00D56277">
        <w:rPr>
          <w:rFonts w:cs="Calibri"/>
          <w:b/>
        </w:rPr>
        <w:t>14.1</w:t>
      </w:r>
      <w:r w:rsidRPr="00D56277">
        <w:rPr>
          <w:rFonts w:cs="Calibri"/>
        </w:rPr>
        <w:t xml:space="preserve"> con el catálogo de errores.</w:t>
      </w:r>
    </w:p>
    <w:p w14:paraId="0383AEE6" w14:textId="5E2F5C17" w:rsidR="00D56277" w:rsidRPr="00D56277" w:rsidRDefault="00D56277" w:rsidP="00D56277">
      <w:pPr>
        <w:pStyle w:val="Cuerpocap"/>
        <w:rPr>
          <w:rFonts w:cs="Calibri"/>
        </w:rPr>
      </w:pPr>
      <w:r w:rsidRPr="00D56277">
        <w:rPr>
          <w:rFonts w:cs="Calibri"/>
          <w:b/>
        </w:rPr>
        <w:t>Continúa en:</w:t>
      </w:r>
      <w:r w:rsidRPr="00D56277">
        <w:rPr>
          <w:rFonts w:cs="Calibri"/>
        </w:rPr>
        <w:t xml:space="preserve"> Capítulo 3 — El bucle de eventos del servidor, donde se estudia por qué todos los handlers de este proyecto son asincrónicos, qué significa exactamente que una línea "bloquee", y de dónde salen las ocho reglas que el TPI declara juntas en su sección 1.4.</w:t>
      </w:r>
    </w:p>
    <w:p w14:paraId="439014A1" w14:textId="07F956CD" w:rsidR="009A7F90" w:rsidRPr="00D56277" w:rsidRDefault="009A7F90" w:rsidP="00D56277">
      <w:pPr>
        <w:pStyle w:val="Cuerpocap"/>
        <w:rPr>
          <w:rFonts w:cs="Calibri"/>
        </w:rPr>
      </w:pPr>
    </w:p>
    <w:sectPr w:rsidR="009A7F90" w:rsidRPr="00D562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9FE1" w14:textId="77777777" w:rsidR="00D70717" w:rsidRDefault="00D70717" w:rsidP="004270E9">
      <w:pPr>
        <w:spacing w:after="0" w:line="240" w:lineRule="auto"/>
      </w:pPr>
      <w:r>
        <w:separator/>
      </w:r>
    </w:p>
  </w:endnote>
  <w:endnote w:type="continuationSeparator" w:id="0">
    <w:p w14:paraId="74C690FF" w14:textId="77777777" w:rsidR="00D70717" w:rsidRDefault="00D70717" w:rsidP="0042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A21D" w14:textId="77777777" w:rsidR="004270E9" w:rsidRDefault="004270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BDE7" w14:textId="1C3CA571" w:rsidR="004270E9" w:rsidRPr="004270E9" w:rsidRDefault="004270E9" w:rsidP="004270E9">
    <w:pPr>
      <w:pStyle w:val="Piedepgina"/>
      <w:jc w:val="center"/>
      <w:rPr>
        <w:rFonts w:ascii="Calibri" w:hAnsi="Calibri" w:cs="Calibri"/>
        <w:color w:val="595959"/>
        <w:sz w:val="16"/>
      </w:rPr>
    </w:pPr>
    <w:r>
      <w:rPr>
        <w:rFonts w:ascii="Calibri" w:hAnsi="Calibri" w:cs="Calibri"/>
        <w:color w:val="595959"/>
        <w:sz w:val="16"/>
      </w:rPr>
      <w:fldChar w:fldCharType="begin"/>
    </w:r>
    <w:r>
      <w:rPr>
        <w:rFonts w:ascii="Calibri" w:hAnsi="Calibri" w:cs="Calibri"/>
        <w:color w:val="595959"/>
        <w:sz w:val="16"/>
      </w:rPr>
      <w:instrText xml:space="preserve"> PAGE  \* MERGEFORMAT </w:instrText>
    </w:r>
    <w:r>
      <w:rPr>
        <w:rFonts w:ascii="Calibri" w:hAnsi="Calibri" w:cs="Calibri"/>
        <w:color w:val="595959"/>
        <w:sz w:val="16"/>
      </w:rPr>
      <w:fldChar w:fldCharType="separate"/>
    </w:r>
    <w:r>
      <w:rPr>
        <w:rFonts w:ascii="Calibri" w:hAnsi="Calibri" w:cs="Calibri"/>
        <w:noProof/>
        <w:color w:val="595959"/>
        <w:sz w:val="16"/>
      </w:rPr>
      <w:t>1</w:t>
    </w:r>
    <w:r>
      <w:rPr>
        <w:rFonts w:ascii="Calibri" w:hAnsi="Calibri" w:cs="Calibri"/>
        <w:color w:val="595959"/>
        <w:sz w:val="16"/>
      </w:rPr>
      <w:fldChar w:fldCharType="end"/>
    </w:r>
  </w:p>
  <w:p w14:paraId="09F46A45" w14:textId="7DB60481" w:rsidR="004270E9" w:rsidRDefault="004270E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51A7" w14:textId="77777777" w:rsidR="004270E9" w:rsidRDefault="004270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517C" w14:textId="77777777" w:rsidR="00D70717" w:rsidRDefault="00D70717" w:rsidP="004270E9">
      <w:pPr>
        <w:spacing w:after="0" w:line="240" w:lineRule="auto"/>
      </w:pPr>
      <w:r>
        <w:separator/>
      </w:r>
    </w:p>
  </w:footnote>
  <w:footnote w:type="continuationSeparator" w:id="0">
    <w:p w14:paraId="25B61030" w14:textId="77777777" w:rsidR="00D70717" w:rsidRDefault="00D70717" w:rsidP="0042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362F" w14:textId="77777777" w:rsidR="004270E9" w:rsidRDefault="004270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CF4F" w14:textId="77777777" w:rsidR="004270E9" w:rsidRPr="004270E9" w:rsidRDefault="004270E9" w:rsidP="004270E9">
    <w:pPr>
      <w:pStyle w:val="Encabezado"/>
      <w:jc w:val="right"/>
      <w:rPr>
        <w:rFonts w:ascii="Calibri" w:hAnsi="Calibri"/>
        <w:color w:val="595959"/>
        <w:sz w:val="15"/>
      </w:rPr>
    </w:pPr>
    <w:r w:rsidRPr="004270E9">
      <w:rPr>
        <w:rFonts w:ascii="Calibri" w:hAnsi="Calibri"/>
        <w:color w:val="595959"/>
        <w:sz w:val="15"/>
      </w:rPr>
      <w:t xml:space="preserve">Back </w:t>
    </w:r>
    <w:proofErr w:type="spellStart"/>
    <w:r w:rsidRPr="004270E9">
      <w:rPr>
        <w:rFonts w:ascii="Calibri" w:hAnsi="Calibri"/>
        <w:color w:val="595959"/>
        <w:sz w:val="15"/>
      </w:rPr>
      <w:t>end</w:t>
    </w:r>
    <w:proofErr w:type="spellEnd"/>
    <w:r w:rsidRPr="004270E9">
      <w:rPr>
        <w:rFonts w:ascii="Calibri" w:hAnsi="Calibri"/>
        <w:color w:val="595959"/>
        <w:sz w:val="15"/>
      </w:rPr>
      <w:t xml:space="preserve"> · Unidad 2 — Contratos: </w:t>
    </w:r>
    <w:proofErr w:type="spellStart"/>
    <w:r w:rsidRPr="004270E9">
      <w:rPr>
        <w:rFonts w:ascii="Calibri" w:hAnsi="Calibri"/>
        <w:color w:val="595959"/>
        <w:sz w:val="15"/>
      </w:rPr>
      <w:t>schemas</w:t>
    </w:r>
    <w:proofErr w:type="spellEnd"/>
    <w:r w:rsidRPr="004270E9">
      <w:rPr>
        <w:rFonts w:ascii="Calibri" w:hAnsi="Calibri"/>
        <w:color w:val="595959"/>
        <w:sz w:val="15"/>
      </w:rPr>
      <w:t>, validación y CRUD</w:t>
    </w:r>
  </w:p>
  <w:p w14:paraId="36207D22" w14:textId="5AA43457" w:rsidR="004270E9" w:rsidRDefault="004270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357F" w14:textId="77777777" w:rsidR="004270E9" w:rsidRDefault="004270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FA19C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7A6A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B36C2A"/>
    <w:multiLevelType w:val="hybridMultilevel"/>
    <w:tmpl w:val="8D069F3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1A425A"/>
    <w:multiLevelType w:val="hybridMultilevel"/>
    <w:tmpl w:val="8F3A26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338F2"/>
    <w:multiLevelType w:val="multilevel"/>
    <w:tmpl w:val="D22A23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56323"/>
    <w:multiLevelType w:val="multilevel"/>
    <w:tmpl w:val="2548C7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06BBC"/>
    <w:multiLevelType w:val="multilevel"/>
    <w:tmpl w:val="A028C8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32C54"/>
    <w:multiLevelType w:val="multilevel"/>
    <w:tmpl w:val="BB7C2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606336">
    <w:abstractNumId w:val="0"/>
  </w:num>
  <w:num w:numId="2" w16cid:durableId="764611656">
    <w:abstractNumId w:val="1"/>
  </w:num>
  <w:num w:numId="3" w16cid:durableId="718894194">
    <w:abstractNumId w:val="2"/>
  </w:num>
  <w:num w:numId="4" w16cid:durableId="1432899866">
    <w:abstractNumId w:val="3"/>
  </w:num>
  <w:num w:numId="5" w16cid:durableId="1032192998">
    <w:abstractNumId w:val="6"/>
  </w:num>
  <w:num w:numId="6" w16cid:durableId="1744445859">
    <w:abstractNumId w:val="5"/>
  </w:num>
  <w:num w:numId="7" w16cid:durableId="1536192269">
    <w:abstractNumId w:val="4"/>
  </w:num>
  <w:num w:numId="8" w16cid:durableId="1336423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E9"/>
    <w:rsid w:val="004270E9"/>
    <w:rsid w:val="00553B74"/>
    <w:rsid w:val="006967DC"/>
    <w:rsid w:val="00724CAB"/>
    <w:rsid w:val="008321E5"/>
    <w:rsid w:val="008B1BA0"/>
    <w:rsid w:val="009A7F90"/>
    <w:rsid w:val="00AA3C2D"/>
    <w:rsid w:val="00B71F7A"/>
    <w:rsid w:val="00D56277"/>
    <w:rsid w:val="00D70717"/>
    <w:rsid w:val="00E43388"/>
    <w:rsid w:val="00EA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DACE9"/>
  <w15:chartTrackingRefBased/>
  <w15:docId w15:val="{FBD63DC1-0ADA-42FE-B00F-B4401D4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0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0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0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0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0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0E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0E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0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0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0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0E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0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0E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0E9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27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0E9"/>
  </w:style>
  <w:style w:type="paragraph" w:styleId="Piedepgina">
    <w:name w:val="footer"/>
    <w:basedOn w:val="Normal"/>
    <w:link w:val="PiedepginaCar"/>
    <w:uiPriority w:val="99"/>
    <w:unhideWhenUsed/>
    <w:rsid w:val="00427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0E9"/>
  </w:style>
  <w:style w:type="paragraph" w:customStyle="1" w:styleId="Ttulodelcaptulo">
    <w:name w:val="Título del capítulo"/>
    <w:rsid w:val="004270E9"/>
    <w:pPr>
      <w:keepNext/>
      <w:spacing w:after="120" w:line="480" w:lineRule="atLeast"/>
      <w:outlineLvl w:val="0"/>
    </w:pPr>
    <w:rPr>
      <w:rFonts w:ascii="Cambria" w:hAnsi="Cambria"/>
      <w:b/>
      <w:color w:val="1F4E79"/>
      <w:sz w:val="40"/>
      <w:lang w:val="es-AR" w:eastAsia="es-AR"/>
    </w:rPr>
  </w:style>
  <w:style w:type="paragraph" w:customStyle="1" w:styleId="Subttulodelcaptulo">
    <w:name w:val="Subtítulo del capítulo"/>
    <w:rsid w:val="004270E9"/>
    <w:pPr>
      <w:spacing w:after="360" w:line="276" w:lineRule="atLeast"/>
    </w:pPr>
    <w:rPr>
      <w:rFonts w:ascii="Calibri" w:hAnsi="Calibri"/>
      <w:color w:val="595959"/>
      <w:lang w:val="es-AR" w:eastAsia="es-AR"/>
    </w:rPr>
  </w:style>
  <w:style w:type="paragraph" w:customStyle="1" w:styleId="Ttulo2cap">
    <w:name w:val="Título 2 cap"/>
    <w:rsid w:val="004270E9"/>
    <w:pPr>
      <w:keepNext/>
      <w:spacing w:before="280" w:after="120" w:line="312" w:lineRule="atLeast"/>
      <w:outlineLvl w:val="1"/>
    </w:pPr>
    <w:rPr>
      <w:rFonts w:ascii="Cambria" w:hAnsi="Cambria"/>
      <w:b/>
      <w:color w:val="2E74B5"/>
      <w:sz w:val="26"/>
      <w:lang w:val="es-AR" w:eastAsia="es-AR"/>
    </w:rPr>
  </w:style>
  <w:style w:type="paragraph" w:customStyle="1" w:styleId="Ttulo3cap">
    <w:name w:val="Título 3 cap"/>
    <w:rsid w:val="004270E9"/>
    <w:pPr>
      <w:keepNext/>
      <w:spacing w:before="200" w:after="80" w:line="288" w:lineRule="atLeast"/>
      <w:outlineLvl w:val="2"/>
    </w:pPr>
    <w:rPr>
      <w:rFonts w:ascii="Calibri" w:hAnsi="Calibri"/>
      <w:b/>
      <w:color w:val="404040"/>
      <w:sz w:val="23"/>
      <w:lang w:val="es-AR" w:eastAsia="es-AR"/>
    </w:rPr>
  </w:style>
  <w:style w:type="paragraph" w:customStyle="1" w:styleId="Cuerpocap">
    <w:name w:val="Cuerpo cap"/>
    <w:rsid w:val="004270E9"/>
    <w:pPr>
      <w:spacing w:line="314" w:lineRule="atLeast"/>
    </w:pPr>
    <w:rPr>
      <w:rFonts w:ascii="Calibri" w:hAnsi="Calibri"/>
      <w:color w:val="000000"/>
      <w:lang w:val="es-AR" w:eastAsia="es-AR"/>
    </w:rPr>
  </w:style>
  <w:style w:type="paragraph" w:customStyle="1" w:styleId="Epgrafefigura">
    <w:name w:val="Epígrafe figura"/>
    <w:rsid w:val="004270E9"/>
    <w:pPr>
      <w:spacing w:before="120" w:after="280" w:line="230" w:lineRule="atLeast"/>
      <w:jc w:val="center"/>
    </w:pPr>
    <w:rPr>
      <w:rFonts w:ascii="Calibri" w:hAnsi="Calibri"/>
      <w:color w:val="595959"/>
      <w:sz w:val="18"/>
      <w:lang w:val="es-AR" w:eastAsia="es-AR"/>
    </w:rPr>
  </w:style>
  <w:style w:type="paragraph" w:customStyle="1" w:styleId="Bloquedecdigo">
    <w:name w:val="Bloque de código"/>
    <w:rsid w:val="004270E9"/>
    <w:pPr>
      <w:keepLines/>
      <w:shd w:val="clear" w:color="auto" w:fill="F2F2F2"/>
      <w:spacing w:before="120" w:after="120" w:line="230" w:lineRule="atLeast"/>
      <w:ind w:left="240" w:right="240"/>
    </w:pPr>
    <w:rPr>
      <w:rFonts w:ascii="Consolas" w:hAnsi="Consolas"/>
      <w:color w:val="000000"/>
      <w:sz w:val="19"/>
      <w:lang w:val="es-AR" w:eastAsia="es-AR"/>
    </w:rPr>
  </w:style>
  <w:style w:type="character" w:customStyle="1" w:styleId="Cdigoenlnea">
    <w:name w:val="Código en línea"/>
    <w:rsid w:val="004270E9"/>
    <w:rPr>
      <w:rFonts w:ascii="Consolas" w:hAnsi="Consolas"/>
      <w:b w:val="0"/>
      <w:i w:val="0"/>
      <w:sz w:val="20"/>
      <w:shd w:val="clear" w:color="auto" w:fill="EEEEEE"/>
    </w:rPr>
  </w:style>
  <w:style w:type="table" w:styleId="Tablaconcuadrcula">
    <w:name w:val="Table Grid"/>
    <w:basedOn w:val="Tablanormal"/>
    <w:uiPriority w:val="39"/>
    <w:rsid w:val="00427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6967DC"/>
    <w:pPr>
      <w:numPr>
        <w:numId w:val="1"/>
      </w:numPr>
      <w:contextualSpacing/>
    </w:pPr>
  </w:style>
  <w:style w:type="paragraph" w:styleId="Listaconvietas">
    <w:name w:val="List Bullet"/>
    <w:basedOn w:val="Normal"/>
    <w:uiPriority w:val="99"/>
    <w:unhideWhenUsed/>
    <w:rsid w:val="00D56277"/>
    <w:pPr>
      <w:numPr>
        <w:numId w:val="2"/>
      </w:numPr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562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627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5627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562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99AF32-6006-427C-A43C-DCC121578BFE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435c043a-7cd2-4377-86a4-e5c0894b54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23</Pages>
  <Words>7381</Words>
  <Characters>40597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Espejo</dc:creator>
  <cp:keywords/>
  <dc:description/>
  <cp:lastModifiedBy>Giuliano Espejo</cp:lastModifiedBy>
  <cp:revision>3</cp:revision>
  <cp:lastPrinted>2026-08-27T21:52:00Z</cp:lastPrinted>
  <dcterms:created xsi:type="dcterms:W3CDTF">2026-08-27T20:35:00Z</dcterms:created>
  <dcterms:modified xsi:type="dcterms:W3CDTF">2026-08-30T00:29:00Z</dcterms:modified>
</cp:coreProperties>
</file>