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«ВОРОНЕЖСКИЙ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(ФГБОУ ВО «ВГТУ», ВГТУ)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информационных технологий и компьютерной безопасности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Times New Roman" w:cs="Times New Roman" w:eastAsia="Times New Roman" w:hAnsi="Times New Roman"/>
          <w:color w:val="263145"/>
          <w:sz w:val="46"/>
          <w:szCs w:val="46"/>
        </w:rPr>
      </w:pPr>
      <w:bookmarkStart w:colFirst="0" w:colLast="0" w:name="_58t48dtr97s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автоматизированных и вычислительных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ПО ЛАБОРАТОРНОЙ РАБОТЕ №7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«Разработка логической структуры базы данных»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«Развёртывание СУБД Postgres с использованием средств автоматизации развёртывания и управления приложениями»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работу студент группы змИИВТ-241:                                         Матыкина А.В.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подпись, дата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Принял:                                                                                                         Короленко В.В.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подпись, дата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Воронеж 2024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wot101ywqq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Учебная задача (в 6)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База данных «Учет подписки на периодические печатные издания»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основные понятия теории баз данных, основные модели данных.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средство для разработки диаграмм draw.io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основные сущности для разрабатываемой базы данных (не менее 4). Обосновать выбор.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это представление набора реальных или абстрактных объектов (людей, вещей, мест, событий т. д.), которые имеют общие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атрибуты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характеристики. Каждая сущность должна иметь наименование, выраженное существительным в единственном числе. 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сущности: Издание, Подписчик, Вид издания, Доставка, Подписка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Обоснование: В действии подписки основной участник – подписчик, поэтому для него выделена отдельная сущность. Основной объект – издание, поэтому для него также выделена отдельная сущность. Необходимо хранить информацию о выплатах за доставку и какому именно отделению отчислялись деньги. Для избежания дублирования избыточности информации введена сущность Доставка. Необходимо хранить информацию о виде издания, для избежания дублирования информации введена сущность Вид издания. Для хранения информации о связи между Подписчик и Издание (связь многие ко многим) введена сущность Подписка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атрибуты сущностей. Выделить ключевые атрибуты сущностей (первичные и внешние ключи). Пояснить свой выбор.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Издание: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издания по каталогу (первичный ключ)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издания (внешний ключ)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издания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1 экземпляра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ПК – так как индекс издания по каталогу должен быть уникальным, служит для избежания дублирования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 – служит ссылкой на сущность Вид издания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Подписчик: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паспорта подписчика (первичный ключ)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 подписчика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Улица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дома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квартиры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ПК – так как номер паспорта подписчика должен быть уникальным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издания: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названия издания (первичный ключ) – уникальное значение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издания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Доставка: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отделения почты (первичный ключ) – уникальное значение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отделения почты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Подписка: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(первичный ключ) – уникальное значение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подписчика (внешний ключ)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издания по каталогу (внешний ключ)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начала подписки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месяцев, на которые оформлялась подписка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доставки (внешний ключ)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доставки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подписки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итоговая цена за подписку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 – все служат указателями на сущности для обеспечения связи многие ко многим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связи между сущностями. Как минимум одна связь должна быть «многие ко многим».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27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убрать сущность Подписка – связь Подписчик &lt; — &gt; Экземпляр будет многие ко многим, так как один подписчик может брать несколько Экземпляров, и несколько Подписчиков могут взять один Экземпляр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Пояснить выбор типов связей.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Избавиться от связей «многие ко многим» с помощью введения дополнительных сущностей. 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Подписка введена для корректной реализации связи многие ко многим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диаграмму сущность-связь для отображения логической структуры проектируемой базы данных с использованием средства для разработки диаграмм draw.io.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27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диаграмме выделить ключевые атрибуты (PK, FK), обозначить связи (для каждой связи вставить соответствующий текст, в котором указано, что это за связь).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27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Описать диаграмму (текстом ниже диаграммы). Пояснить выбор сущностей, атрибутов, связей, ключей.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состоит из сущностей: Издание, Подписчик, Вид издания, Доставка, Подписка</w:t>
        <w:br w:type="textWrapping"/>
        <w:t xml:space="preserve">Сущность Издание хранит информацию о каждом экземпляре, ссылается на сущность Вид издания.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Подписчик хранит информацию о подписчике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Сущности Тип издания и Доставка хранят информацию о возможных типах издания, о возможных поставках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Подписка служит для связи подписчика и издания, а также хранит информацию о совершенной подписке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первичного ключа обусловлен уникальностью информации для каждой сущности, выбор внешнего ключа осуществлялся для возможности связи сущностей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