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DC66" w14:textId="0B6CD577" w:rsidR="00953279" w:rsidRPr="00953279" w:rsidRDefault="00953279" w:rsidP="00953279">
      <w:pPr>
        <w:jc w:val="center"/>
        <w:rPr>
          <w:b/>
          <w:bCs/>
        </w:rPr>
      </w:pPr>
      <w:r w:rsidRPr="00953279">
        <w:rPr>
          <w:b/>
          <w:bCs/>
        </w:rPr>
        <w:t>Grundbegriffe der Buchhaltung</w:t>
      </w:r>
    </w:p>
    <w:p w14:paraId="5B3101E5" w14:textId="31F01EBC" w:rsidR="005377AF" w:rsidRDefault="001C6ADB">
      <w:r>
        <w:t>Kreditoren und Debitoren:</w:t>
      </w:r>
    </w:p>
    <w:p w14:paraId="015C483A" w14:textId="57496C79" w:rsidR="001C6ADB" w:rsidRDefault="001C6ADB" w:rsidP="001C6ADB">
      <w:pPr>
        <w:pStyle w:val="Listenabsatz"/>
        <w:numPr>
          <w:ilvl w:val="0"/>
          <w:numId w:val="1"/>
        </w:numPr>
      </w:pPr>
      <w:r>
        <w:t>Kreditoren sind Gläubiger, denen eine Unternehmen Geld schuldet.</w:t>
      </w:r>
    </w:p>
    <w:p w14:paraId="03BB8293" w14:textId="3CCA9CCF" w:rsidR="001C6ADB" w:rsidRDefault="001C6ADB" w:rsidP="001C6ADB">
      <w:pPr>
        <w:pStyle w:val="Listenabsatz"/>
        <w:numPr>
          <w:ilvl w:val="0"/>
          <w:numId w:val="1"/>
        </w:numPr>
      </w:pPr>
      <w:r>
        <w:t>Debitoren sind Kunden, die dem Unternehmen Geld schulden.</w:t>
      </w:r>
    </w:p>
    <w:p w14:paraId="2E2E34C7" w14:textId="6D204490" w:rsidR="001C6ADB" w:rsidRDefault="001C6ADB" w:rsidP="001C6ADB">
      <w:r>
        <w:t>Erfolgskonten:</w:t>
      </w:r>
    </w:p>
    <w:p w14:paraId="5288806D" w14:textId="6979D475" w:rsidR="001C6ADB" w:rsidRDefault="001C6ADB" w:rsidP="001C6ADB">
      <w:pPr>
        <w:pStyle w:val="Listenabsatz"/>
        <w:numPr>
          <w:ilvl w:val="0"/>
          <w:numId w:val="1"/>
        </w:numPr>
      </w:pPr>
      <w:r>
        <w:t>Erfolgskonten erfassen Einnahmen und Ausgaben innerhalb eines Geschäftsjahres.</w:t>
      </w:r>
    </w:p>
    <w:p w14:paraId="68BAEE88" w14:textId="0558247B" w:rsidR="001C6ADB" w:rsidRDefault="001C6ADB" w:rsidP="001C6ADB">
      <w:r w:rsidRPr="001C6ADB">
        <w:drawing>
          <wp:inline distT="0" distB="0" distL="0" distR="0" wp14:anchorId="217C3590" wp14:editId="351F959A">
            <wp:extent cx="4953691" cy="1914792"/>
            <wp:effectExtent l="0" t="0" r="0" b="9525"/>
            <wp:docPr id="28581623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6237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EE2" w14:textId="5B82C3A7" w:rsidR="002244C7" w:rsidRDefault="002244C7" w:rsidP="001C6ADB">
      <w:r>
        <w:t>Kontenplan:</w:t>
      </w:r>
    </w:p>
    <w:p w14:paraId="7AE3E3F1" w14:textId="2F87809B" w:rsidR="002244C7" w:rsidRDefault="002244C7" w:rsidP="002244C7">
      <w:pPr>
        <w:pStyle w:val="Listenabsatz"/>
        <w:numPr>
          <w:ilvl w:val="0"/>
          <w:numId w:val="1"/>
        </w:numPr>
      </w:pPr>
      <w:r>
        <w:t>Ist eine systematische Zusammenstellung von Konten.</w:t>
      </w:r>
    </w:p>
    <w:p w14:paraId="36C9DECC" w14:textId="4DDDF35B" w:rsidR="002244C7" w:rsidRDefault="002244C7" w:rsidP="002244C7">
      <w:pPr>
        <w:pStyle w:val="Listenabsatz"/>
        <w:numPr>
          <w:ilvl w:val="0"/>
          <w:numId w:val="1"/>
        </w:numPr>
      </w:pPr>
      <w:r>
        <w:t>Organisiert Konten nach Kategorien wie Aktiva, Passiva, Aufwendungen und Erträge.</w:t>
      </w:r>
    </w:p>
    <w:p w14:paraId="2E00EA51" w14:textId="0BE97578" w:rsidR="002244C7" w:rsidRDefault="002244C7" w:rsidP="002244C7">
      <w:r>
        <w:t>Buchungskreislauf:</w:t>
      </w:r>
    </w:p>
    <w:p w14:paraId="035B9A09" w14:textId="5F158215" w:rsidR="002244C7" w:rsidRDefault="002244C7" w:rsidP="002244C7">
      <w:r w:rsidRPr="002244C7">
        <w:drawing>
          <wp:inline distT="0" distB="0" distL="0" distR="0" wp14:anchorId="572C38DE" wp14:editId="568E834D">
            <wp:extent cx="3134162" cy="2762636"/>
            <wp:effectExtent l="0" t="0" r="0" b="0"/>
            <wp:docPr id="2146312472" name="Grafik 1" descr="Ein Bild, das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2472" name="Grafik 1" descr="Ein Bild, das Tex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A7B" w14:textId="77777777" w:rsidR="00953279" w:rsidRDefault="00953279" w:rsidP="002244C7">
      <w:pPr>
        <w:jc w:val="center"/>
        <w:rPr>
          <w:b/>
          <w:bCs/>
        </w:rPr>
      </w:pPr>
    </w:p>
    <w:p w14:paraId="45A4794F" w14:textId="77777777" w:rsidR="00953279" w:rsidRDefault="00953279" w:rsidP="002244C7">
      <w:pPr>
        <w:jc w:val="center"/>
        <w:rPr>
          <w:b/>
          <w:bCs/>
        </w:rPr>
      </w:pPr>
    </w:p>
    <w:p w14:paraId="010A614A" w14:textId="77777777" w:rsidR="00953279" w:rsidRDefault="00953279" w:rsidP="002244C7">
      <w:pPr>
        <w:jc w:val="center"/>
        <w:rPr>
          <w:b/>
          <w:bCs/>
        </w:rPr>
      </w:pPr>
    </w:p>
    <w:p w14:paraId="550DDFA1" w14:textId="77777777" w:rsidR="00953279" w:rsidRDefault="00953279" w:rsidP="002244C7">
      <w:pPr>
        <w:jc w:val="center"/>
        <w:rPr>
          <w:b/>
          <w:bCs/>
        </w:rPr>
      </w:pPr>
    </w:p>
    <w:p w14:paraId="5AB0F8B7" w14:textId="77777777" w:rsidR="00953279" w:rsidRDefault="00953279" w:rsidP="002244C7">
      <w:pPr>
        <w:jc w:val="center"/>
        <w:rPr>
          <w:b/>
          <w:bCs/>
        </w:rPr>
      </w:pPr>
    </w:p>
    <w:p w14:paraId="7A759952" w14:textId="1048FA24" w:rsidR="002244C7" w:rsidRPr="00953279" w:rsidRDefault="002244C7" w:rsidP="002244C7">
      <w:pPr>
        <w:jc w:val="center"/>
        <w:rPr>
          <w:b/>
          <w:bCs/>
        </w:rPr>
      </w:pPr>
      <w:r w:rsidRPr="00953279">
        <w:rPr>
          <w:b/>
          <w:bCs/>
        </w:rPr>
        <w:lastRenderedPageBreak/>
        <w:t>Ein- und Verkauf von Waren</w:t>
      </w:r>
    </w:p>
    <w:p w14:paraId="351435C3" w14:textId="5F3D69C3" w:rsidR="002244C7" w:rsidRDefault="002244C7" w:rsidP="002244C7">
      <w:r>
        <w:t>Begriffsbestimmungen:</w:t>
      </w:r>
    </w:p>
    <w:p w14:paraId="31F6A4E9" w14:textId="4008988D" w:rsidR="002244C7" w:rsidRDefault="002244C7" w:rsidP="002244C7">
      <w:pPr>
        <w:pStyle w:val="Listenabsatz"/>
        <w:numPr>
          <w:ilvl w:val="0"/>
          <w:numId w:val="1"/>
        </w:numPr>
      </w:pPr>
      <w:r>
        <w:t>Auszahlung: z.B. Wir bezahlen die Heizölrechnung</w:t>
      </w:r>
    </w:p>
    <w:p w14:paraId="409A0CC7" w14:textId="247C11C4" w:rsidR="002244C7" w:rsidRDefault="002244C7" w:rsidP="002244C7">
      <w:pPr>
        <w:pStyle w:val="Listenabsatz"/>
        <w:numPr>
          <w:ilvl w:val="0"/>
          <w:numId w:val="1"/>
        </w:numPr>
      </w:pPr>
      <w:r>
        <w:t>Einzahlung: z.B. Ein Kunde bezahlt die gelieferte Ware</w:t>
      </w:r>
    </w:p>
    <w:p w14:paraId="51E88F34" w14:textId="6E665F72" w:rsidR="002244C7" w:rsidRDefault="002244C7" w:rsidP="002244C7">
      <w:pPr>
        <w:pStyle w:val="Listenabsatz"/>
        <w:numPr>
          <w:ilvl w:val="0"/>
          <w:numId w:val="1"/>
        </w:numPr>
      </w:pPr>
      <w:r>
        <w:t>Aufwand: z.B. Wir verbrennen das Heizöl</w:t>
      </w:r>
    </w:p>
    <w:p w14:paraId="22CBD76A" w14:textId="1A8F0A73" w:rsidR="002244C7" w:rsidRDefault="002244C7" w:rsidP="002244C7">
      <w:pPr>
        <w:pStyle w:val="Listenabsatz"/>
        <w:numPr>
          <w:ilvl w:val="0"/>
          <w:numId w:val="1"/>
        </w:numPr>
      </w:pPr>
      <w:r>
        <w:t>Ertrag: z.B. Wir erhalten die Miete für ein Geschäftslokal, das wir vermietet haben</w:t>
      </w:r>
    </w:p>
    <w:p w14:paraId="4CE3590E" w14:textId="64837928" w:rsidR="002244C7" w:rsidRDefault="002244C7" w:rsidP="002244C7">
      <w:r>
        <w:t>Verbuchung von Warenein- und -verkauf:</w:t>
      </w:r>
    </w:p>
    <w:p w14:paraId="7A2502E3" w14:textId="5DD3151E" w:rsidR="002244C7" w:rsidRDefault="002244C7" w:rsidP="002244C7">
      <w:pPr>
        <w:pStyle w:val="Listenabsatz"/>
        <w:numPr>
          <w:ilvl w:val="0"/>
          <w:numId w:val="1"/>
        </w:numPr>
      </w:pPr>
      <w:r w:rsidRPr="002244C7">
        <w:t>Einkäufe werden auf Warenkonten verbucht, Verkäufe führen zu Umsatzerlösen</w:t>
      </w:r>
      <w:r>
        <w:t>.</w:t>
      </w:r>
    </w:p>
    <w:p w14:paraId="6C345CCF" w14:textId="5CDE367F" w:rsidR="002244C7" w:rsidRDefault="002244C7" w:rsidP="002244C7">
      <w:r>
        <w:t>Inventur:</w:t>
      </w:r>
    </w:p>
    <w:p w14:paraId="785773E1" w14:textId="42FE5A77" w:rsidR="002244C7" w:rsidRDefault="002244C7" w:rsidP="002244C7">
      <w:pPr>
        <w:pStyle w:val="Listenabsatz"/>
        <w:numPr>
          <w:ilvl w:val="0"/>
          <w:numId w:val="1"/>
        </w:numPr>
      </w:pPr>
      <w:r>
        <w:t>Ist e</w:t>
      </w:r>
      <w:r w:rsidRPr="002244C7">
        <w:t>ine Bestandsaufnahme, um den Bestand an Waren zu ermitteln.</w:t>
      </w:r>
    </w:p>
    <w:p w14:paraId="09CBF2EF" w14:textId="457EDA10" w:rsidR="002244C7" w:rsidRDefault="002244C7" w:rsidP="002244C7">
      <w:r>
        <w:t xml:space="preserve">Bewertung: </w:t>
      </w:r>
    </w:p>
    <w:p w14:paraId="0E86DD03" w14:textId="1960E7E3" w:rsidR="002244C7" w:rsidRDefault="002244C7" w:rsidP="002244C7">
      <w:pPr>
        <w:pStyle w:val="Listenabsatz"/>
        <w:numPr>
          <w:ilvl w:val="0"/>
          <w:numId w:val="1"/>
        </w:numPr>
      </w:pPr>
      <w:r w:rsidRPr="002244C7">
        <w:t>Warenbestände werden üblicherweise zu Anschaffungskosten oder Nettomarktwert bewertet.</w:t>
      </w:r>
    </w:p>
    <w:p w14:paraId="486E1E80" w14:textId="2C40E2B8" w:rsidR="00953279" w:rsidRPr="00953279" w:rsidRDefault="00953279" w:rsidP="00953279">
      <w:pPr>
        <w:jc w:val="center"/>
        <w:rPr>
          <w:b/>
          <w:bCs/>
        </w:rPr>
      </w:pPr>
      <w:r w:rsidRPr="00953279">
        <w:rPr>
          <w:b/>
          <w:bCs/>
        </w:rPr>
        <w:t>Abschlussbuchungen</w:t>
      </w:r>
    </w:p>
    <w:p w14:paraId="4D9D7290" w14:textId="009638AA" w:rsidR="00953279" w:rsidRDefault="00953279" w:rsidP="002244C7">
      <w:r>
        <w:t>Rechnungsabgrenzung:</w:t>
      </w:r>
    </w:p>
    <w:p w14:paraId="469BCF9A" w14:textId="07C50615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Periodenübergreifende Zuordnung von Aufwendungen und Erträgen.</w:t>
      </w:r>
    </w:p>
    <w:p w14:paraId="54AF56E4" w14:textId="4DA51A36" w:rsidR="00953279" w:rsidRDefault="00953279" w:rsidP="00953279">
      <w:r>
        <w:t>Rückstellungen:</w:t>
      </w:r>
    </w:p>
    <w:p w14:paraId="11EB6AC6" w14:textId="13934618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Rücklagen für erwartete Verbindlichkeiten oder Risiken.</w:t>
      </w:r>
    </w:p>
    <w:p w14:paraId="4C64E76B" w14:textId="05296AA6" w:rsidR="00953279" w:rsidRDefault="00953279" w:rsidP="00953279">
      <w:r>
        <w:t>Rücklagen:</w:t>
      </w:r>
    </w:p>
    <w:p w14:paraId="2F1C1BE3" w14:textId="6DA1D320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Gewinnrücklagen für zukünftige Verwendungszwecke.</w:t>
      </w:r>
    </w:p>
    <w:p w14:paraId="4421378B" w14:textId="091F6D88" w:rsidR="00953279" w:rsidRDefault="00953279" w:rsidP="00953279">
      <w:r>
        <w:t>Latente Steuern:</w:t>
      </w:r>
    </w:p>
    <w:p w14:paraId="0F10DB63" w14:textId="247C8ADF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Ertragssteuern, die sich aus temporären Differenzen ergeben</w:t>
      </w:r>
      <w:r>
        <w:t>.</w:t>
      </w:r>
    </w:p>
    <w:p w14:paraId="665FAF22" w14:textId="02BE71FB" w:rsidR="00953279" w:rsidRPr="00953279" w:rsidRDefault="00953279" w:rsidP="00953279">
      <w:pPr>
        <w:jc w:val="center"/>
        <w:rPr>
          <w:b/>
          <w:bCs/>
        </w:rPr>
      </w:pPr>
      <w:r w:rsidRPr="00953279">
        <w:rPr>
          <w:b/>
          <w:bCs/>
        </w:rPr>
        <w:t>Bilanzen lesen</w:t>
      </w:r>
    </w:p>
    <w:p w14:paraId="579E030E" w14:textId="77777777" w:rsidR="00953279" w:rsidRDefault="00953279" w:rsidP="00953279">
      <w:r>
        <w:t>Bestandteile des Jahresabschlusses:</w:t>
      </w:r>
    </w:p>
    <w:p w14:paraId="16295605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Jahresabschluss besteht aus Bilanz und Gewinn und Verlust Rechnung</w:t>
      </w:r>
    </w:p>
    <w:p w14:paraId="1C6C4FB7" w14:textId="36ABB687" w:rsidR="00953279" w:rsidRDefault="00953279" w:rsidP="00953279">
      <w:r>
        <w:t>Kennzahlen: (Erklärung im Buch)</w:t>
      </w:r>
    </w:p>
    <w:p w14:paraId="2F8ADE81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Eigenkapital:</w:t>
      </w:r>
    </w:p>
    <w:p w14:paraId="63BBACF2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Anlagendeckung:</w:t>
      </w:r>
    </w:p>
    <w:p w14:paraId="4C6C4040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Liquidität:</w:t>
      </w:r>
    </w:p>
    <w:p w14:paraId="5E784879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Cashflow:</w:t>
      </w:r>
    </w:p>
    <w:p w14:paraId="7FFB3ED7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Dynamischer Verschuldungsgrad:</w:t>
      </w:r>
    </w:p>
    <w:p w14:paraId="6C0089F8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Cashflow-Leistungsrate:</w:t>
      </w:r>
    </w:p>
    <w:p w14:paraId="7E6BFD96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Eigenkapitalrentabilität:</w:t>
      </w:r>
    </w:p>
    <w:p w14:paraId="64E22B98" w14:textId="7CB6FD34" w:rsidR="00953279" w:rsidRDefault="00953279" w:rsidP="00953279">
      <w:pPr>
        <w:pStyle w:val="Listenabsatz"/>
        <w:numPr>
          <w:ilvl w:val="0"/>
          <w:numId w:val="1"/>
        </w:numPr>
      </w:pPr>
      <w:r>
        <w:t>Gesamtrentabilität:</w:t>
      </w:r>
    </w:p>
    <w:p w14:paraId="5A5265AC" w14:textId="7729BF84" w:rsidR="00953279" w:rsidRDefault="00953279" w:rsidP="00953279">
      <w:pPr>
        <w:pStyle w:val="Listenabsatz"/>
        <w:numPr>
          <w:ilvl w:val="0"/>
          <w:numId w:val="1"/>
        </w:numPr>
      </w:pPr>
      <w:proofErr w:type="gramStart"/>
      <w:r>
        <w:t>Quicktest</w:t>
      </w:r>
      <w:proofErr w:type="gramEnd"/>
      <w:r>
        <w:t>:</w:t>
      </w:r>
    </w:p>
    <w:p w14:paraId="3510FF51" w14:textId="7D6B4CB0" w:rsidR="00953279" w:rsidRDefault="00953279" w:rsidP="00953279">
      <w:r>
        <w:rPr>
          <w:noProof/>
        </w:rPr>
        <w:lastRenderedPageBreak/>
        <w:drawing>
          <wp:inline distT="0" distB="0" distL="0" distR="0" wp14:anchorId="04CE3AEA" wp14:editId="0BB3A2F9">
            <wp:extent cx="5760720" cy="6226175"/>
            <wp:effectExtent l="0" t="0" r="0" b="3175"/>
            <wp:docPr id="1865070222" name="Grafik 2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0222" name="Grafik 2" descr="Ein Bild, das Text, Screenshot, Schrift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77EF"/>
    <w:multiLevelType w:val="hybridMultilevel"/>
    <w:tmpl w:val="3B7EC0D0"/>
    <w:lvl w:ilvl="0" w:tplc="70FCF7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30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F"/>
    <w:rsid w:val="001C6ADB"/>
    <w:rsid w:val="002244C7"/>
    <w:rsid w:val="00315DD2"/>
    <w:rsid w:val="005377AF"/>
    <w:rsid w:val="00953279"/>
    <w:rsid w:val="0095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A00"/>
  <w15:chartTrackingRefBased/>
  <w15:docId w15:val="{A53B7B02-65A0-4C77-8A53-BA659EBB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7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7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7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7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7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7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7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7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7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77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77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77AF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77AF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77AF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77AF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77AF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77AF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77AF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37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77A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7AF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37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77AF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5377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77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7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77AF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537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Gruca Mateusz</dc:creator>
  <cp:keywords/>
  <dc:description/>
  <cp:lastModifiedBy>Gruca Mateusz</cp:lastModifiedBy>
  <cp:revision>2</cp:revision>
  <dcterms:created xsi:type="dcterms:W3CDTF">2024-05-01T12:24:00Z</dcterms:created>
  <dcterms:modified xsi:type="dcterms:W3CDTF">2024-05-01T13:51:00Z</dcterms:modified>
</cp:coreProperties>
</file>