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864"/>
          <w:sz w:val="40"/>
          <w:szCs w:val="40"/>
        </w:rPr>
        <w:t xml:space="preserve">DIAGRAMAS BPMN DE PROCESOS</w:t>
      </w:r>
    </w:p>
    <w:p>
      <w:pPr>
        <w:spacing w:before="200"/>
        <w:jc w:val="center"/>
      </w:pPr>
      <w:r>
        <w:rPr>
          <w:i/>
          <w:iCs/>
          <w:sz w:val="22"/>
          <w:szCs w:val="22"/>
        </w:rPr>
        <w:t xml:space="preserve">Business Process Model and Notation — Un proceso por módulo, con carriles (swimlanes) por actor</w:t>
      </w:r>
    </w:p>
    <w:p>
      <w:pPr>
        <w:spacing w:before="500"/>
        <w:jc w:val="center"/>
      </w:pPr>
      <w:r>
        <w:rPr>
          <w:b/>
          <w:bCs/>
          <w:sz w:val="30"/>
          <w:szCs w:val="30"/>
        </w:rPr>
        <w:t xml:space="preserve">Sistema Integral de Gestión para Restaurante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POS · Cocina (KDS) · Mesas y Salón · Inventario · Delivery · RRHH · BI · CRM</w:t>
      </w:r>
    </w:p>
    <w:p>
      <w:pPr>
        <w:spacing w:before="1000"/>
        <w:jc w:val="center"/>
      </w:pPr>
      <w:r>
        <w:rPr>
          <w:sz w:val="20"/>
          <w:szCs w:val="20"/>
        </w:rPr>
        <w:t xml:space="preserve">Versión 1.0 — 15 de agosto de 2026</w:t>
      </w:r>
    </w:p>
    <w:p>
      <w:pPr>
        <w:spacing w:before="100"/>
        <w:jc w:val="center"/>
      </w:pPr>
      <w:r>
        <w:rPr>
          <w:i/>
          <w:iCs/>
          <w:color w:val="777777"/>
          <w:sz w:val="18"/>
          <w:szCs w:val="18"/>
        </w:rPr>
        <w:t xml:space="preserve">Documento complementario a: Requerimientos Funcionales, Casos de Uso y Diagramas de Casos de Uso (RUP)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CÓMO LEER ESTOS DIAGRAMAS (Notación BPMN)</w:t>
      </w:r>
    </w:p>
    <w:p>
      <w:pPr>
        <w:spacing w:after="100"/>
      </w:pPr>
      <w:r>
        <w:rPr>
          <w:sz w:val="21"/>
          <w:szCs w:val="21"/>
        </w:rPr>
        <w:t xml:space="preserve">Cada módulo se representa como un único proceso (pool) dividido en carriles (lanes) — uno por cada actor/rol que participa. El flujo avanza de izquierda a derecha; cuando la responsabilidad de una tarea cambia de actor, la línea de flujo salta al carril correspondiente.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4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⚪ Círculo verde</w:t>
            </w:r>
          </w:p>
        </w:tc>
        <w:tc>
          <w:tcPr>
            <w:tcW w:type="dxa" w:w="1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Evento de Inicio — dispara el proceso.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◉ Círculo rojo (borde grueso)</w:t>
            </w:r>
          </w:p>
        </w:tc>
        <w:tc>
          <w:tcPr>
            <w:tcW w:type="dxa" w:w="1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Evento de Fin — cierra el proceso.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▭ Rectángulo redondeado azul</w:t>
            </w:r>
          </w:p>
        </w:tc>
        <w:tc>
          <w:tcPr>
            <w:tcW w:type="dxa" w:w="1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Tarea — una actividad, tomada de un Caso de Uso / Requerimiento Funcional (se referencia su ID).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▭ Rectángulo redondeado naranja</w:t>
            </w:r>
          </w:p>
        </w:tc>
        <w:tc>
          <w:tcPr>
            <w:tcW w:type="dxa" w:w="1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Tarea de alerta — se ejecuta solo si se cumple una condición evaluada en la compuerta previa.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▭ Rectángulo redondeado morado</w:t>
            </w:r>
          </w:p>
        </w:tc>
        <w:tc>
          <w:tcPr>
            <w:tcW w:type="dxa" w:w="1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Tarea de reporte/dashboard — corre en paralelo a la actividad principal (no bloquea el flujo).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◇ Rombo amarillo con “×”</w:t>
            </w:r>
          </w:p>
        </w:tc>
        <w:tc>
          <w:tcPr>
            <w:tcW w:type="dxa" w:w="1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Compuerta exclusiva (XOR) — el flujo toma una sola de las rutas posibles (Sí / No).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◇ Rombo amarillo con “+”</w:t>
            </w:r>
          </w:p>
        </w:tc>
        <w:tc>
          <w:tcPr>
            <w:tcW w:type="dxa" w:w="1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Compuerta paralela (AND) — el flujo se ejecuta simultáneamente por ambas rutas y luego converge.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ÍNDICE DE PROCESOS BPMN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AUTH — </w:t>
      </w:r>
      <w:r>
        <w:rPr>
          <w:sz w:val="21"/>
          <w:szCs w:val="21"/>
        </w:rPr>
        <w:t xml:space="preserve">Autenticación y Control de Acceso</w:t>
      </w:r>
      <w:r>
        <w:rPr>
          <w:color w:val="666666"/>
          <w:sz w:val="18"/>
          <w:szCs w:val="18"/>
        </w:rPr>
        <w:t xml:space="preserve">   (9 tareas, 2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REG — </w:t>
      </w:r>
      <w:r>
        <w:rPr>
          <w:sz w:val="21"/>
          <w:szCs w:val="21"/>
        </w:rPr>
        <w:t xml:space="preserve">Registro y Gestión de Personal</w:t>
      </w:r>
      <w:r>
        <w:rPr>
          <w:color w:val="666666"/>
          <w:sz w:val="18"/>
          <w:szCs w:val="18"/>
        </w:rPr>
        <w:t xml:space="preserve">   (5 tareas, 2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MESA — </w:t>
      </w:r>
      <w:r>
        <w:rPr>
          <w:sz w:val="21"/>
          <w:szCs w:val="21"/>
        </w:rPr>
        <w:t xml:space="preserve">Gestión de Mesas y Salón (Floor Plan)</w:t>
      </w:r>
      <w:r>
        <w:rPr>
          <w:color w:val="666666"/>
          <w:sz w:val="18"/>
          <w:szCs w:val="18"/>
        </w:rPr>
        <w:t xml:space="preserve">   (9 tareas, 4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ORD — </w:t>
      </w:r>
      <w:r>
        <w:rPr>
          <w:sz w:val="21"/>
          <w:szCs w:val="21"/>
        </w:rPr>
        <w:t xml:space="preserve">Gestión de Órdenes (Mesero)</w:t>
      </w:r>
      <w:r>
        <w:rPr>
          <w:color w:val="666666"/>
          <w:sz w:val="18"/>
          <w:szCs w:val="18"/>
        </w:rPr>
        <w:t xml:space="preserve">   (6 tareas, 2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COC — </w:t>
      </w:r>
      <w:r>
        <w:rPr>
          <w:sz w:val="21"/>
          <w:szCs w:val="21"/>
        </w:rPr>
        <w:t xml:space="preserve">Pantallas de Cocina (KDS - Kitchen Display System)</w:t>
      </w:r>
      <w:r>
        <w:rPr>
          <w:color w:val="666666"/>
          <w:sz w:val="18"/>
          <w:szCs w:val="18"/>
        </w:rPr>
        <w:t xml:space="preserve">   (7 tareas, 4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ROUT — </w:t>
      </w:r>
      <w:r>
        <w:rPr>
          <w:sz w:val="21"/>
          <w:szCs w:val="21"/>
        </w:rPr>
        <w:t xml:space="preserve">Enrutamiento Central de Pedidos</w:t>
      </w:r>
      <w:r>
        <w:rPr>
          <w:color w:val="666666"/>
          <w:sz w:val="18"/>
          <w:szCs w:val="18"/>
        </w:rPr>
        <w:t xml:space="preserve">   (4 tareas, 2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PAG — </w:t>
      </w:r>
      <w:r>
        <w:rPr>
          <w:sz w:val="21"/>
          <w:szCs w:val="21"/>
        </w:rPr>
        <w:t xml:space="preserve">Gestión de Pagos (POS y Backoffice)</w:t>
      </w:r>
      <w:r>
        <w:rPr>
          <w:color w:val="666666"/>
          <w:sz w:val="18"/>
          <w:szCs w:val="18"/>
        </w:rPr>
        <w:t xml:space="preserve">   (8 tareas, 4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INV — </w:t>
      </w:r>
      <w:r>
        <w:rPr>
          <w:sz w:val="21"/>
          <w:szCs w:val="21"/>
        </w:rPr>
        <w:t xml:space="preserve">Gestión de Inventarios y Recetas</w:t>
      </w:r>
      <w:r>
        <w:rPr>
          <w:color w:val="666666"/>
          <w:sz w:val="18"/>
          <w:szCs w:val="18"/>
        </w:rPr>
        <w:t xml:space="preserve">   (7 tareas, 4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RES — </w:t>
      </w:r>
      <w:r>
        <w:rPr>
          <w:sz w:val="21"/>
          <w:szCs w:val="21"/>
        </w:rPr>
        <w:t xml:space="preserve">Reservaciones y Lista de Espera</w:t>
      </w:r>
      <w:r>
        <w:rPr>
          <w:color w:val="666666"/>
          <w:sz w:val="18"/>
          <w:szCs w:val="18"/>
        </w:rPr>
        <w:t xml:space="preserve">   (7 tareas, 3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DEL — </w:t>
      </w:r>
      <w:r>
        <w:rPr>
          <w:sz w:val="21"/>
          <w:szCs w:val="21"/>
        </w:rPr>
        <w:t xml:space="preserve">Delivery, Pedidos Online y Repartidores</w:t>
      </w:r>
      <w:r>
        <w:rPr>
          <w:color w:val="666666"/>
          <w:sz w:val="18"/>
          <w:szCs w:val="18"/>
        </w:rPr>
        <w:t xml:space="preserve">   (8 tareas, 5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RRHH — </w:t>
      </w:r>
      <w:r>
        <w:rPr>
          <w:sz w:val="21"/>
          <w:szCs w:val="21"/>
        </w:rPr>
        <w:t xml:space="preserve">Turnos, Horarios y Distribución de Propinas (RRHH)</w:t>
      </w:r>
      <w:r>
        <w:rPr>
          <w:color w:val="666666"/>
          <w:sz w:val="18"/>
          <w:szCs w:val="18"/>
        </w:rPr>
        <w:t xml:space="preserve">   (8 tareas, 4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BI — </w:t>
      </w:r>
      <w:r>
        <w:rPr>
          <w:sz w:val="21"/>
          <w:szCs w:val="21"/>
        </w:rPr>
        <w:t xml:space="preserve">Reportes, Business Intelligence y Analítica Avanzada</w:t>
      </w:r>
      <w:r>
        <w:rPr>
          <w:color w:val="666666"/>
          <w:sz w:val="18"/>
          <w:szCs w:val="18"/>
        </w:rPr>
        <w:t xml:space="preserve">   (8 tareas, 5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QR — </w:t>
      </w:r>
      <w:r>
        <w:rPr>
          <w:sz w:val="21"/>
          <w:szCs w:val="21"/>
        </w:rPr>
        <w:t xml:space="preserve">Menú Digital QR y Auto-Pedido</w:t>
      </w:r>
      <w:r>
        <w:rPr>
          <w:color w:val="666666"/>
          <w:sz w:val="18"/>
          <w:szCs w:val="18"/>
        </w:rPr>
        <w:t xml:space="preserve">   (7 tareas, 3 carriles)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Módulo CRM — </w:t>
      </w:r>
      <w:r>
        <w:rPr>
          <w:sz w:val="21"/>
          <w:szCs w:val="21"/>
        </w:rPr>
        <w:t xml:space="preserve">Fidelización, CRM y Marketing</w:t>
      </w:r>
      <w:r>
        <w:rPr>
          <w:color w:val="666666"/>
          <w:sz w:val="18"/>
          <w:szCs w:val="18"/>
        </w:rPr>
        <w:t xml:space="preserve">   (8 tareas, 4 carriles)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AUTH — AUTENTICACIÓN Y CONTROL DE ACCESO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los bocetos "Login" y "Login Admin", que definen 3 planes de seguridad escalonados (Básico, Premium, Gold).</w:t>
      </w:r>
    </w:p>
    <w:p>
      <w:pPr>
        <w:spacing w:after="60"/>
        <w:jc w:val="center"/>
      </w:pPr>
      <w:r>
        <w:drawing>
          <wp:inline distT="0" distB="0" distL="0" distR="0">
            <wp:extent cx="89154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AUTH (9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REG — REGISTRO Y GESTIÓN DE PERSONAL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"Sistema de Gestión de Personal de Restaurante" (paquetes Básico y Premium).</w:t>
      </w:r>
    </w:p>
    <w:p>
      <w:pPr>
        <w:spacing w:after="60"/>
        <w:jc w:val="center"/>
      </w:pPr>
      <w:r>
        <w:drawing>
          <wp:inline distT="0" distB="0" distL="0" distR="0">
            <wp:extent cx="89154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REG (5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MESA — GESTIÓN DE MESAS Y SALÓN (FLOOR PLAN)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"Diagrama de Módulo de Gestión de Mesas y Salón".</w:t>
      </w:r>
    </w:p>
    <w:p>
      <w:pPr>
        <w:spacing w:after="60"/>
        <w:jc w:val="center"/>
      </w:pPr>
      <w:r>
        <w:drawing>
          <wp:inline distT="0" distB="0" distL="0" distR="0">
            <wp:extent cx="89154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MESA (9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ORD — GESTIÓN DE ÓRDENES (MESERO)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"Gestión de orden (Mesero)".</w:t>
      </w:r>
    </w:p>
    <w:p>
      <w:pPr>
        <w:spacing w:after="60"/>
        <w:jc w:val="center"/>
      </w:pPr>
      <w:r>
        <w:drawing>
          <wp:inline distT="0" distB="0" distL="0" distR="0">
            <wp:extent cx="89154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ORD (6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COC — PANTALLAS DE COCINA (KDS - KITCHEN DISPLAY SYSTEM)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"Módulo de Pantallas de Cocina Avanzadas (KDS)".</w:t>
      </w:r>
    </w:p>
    <w:p>
      <w:pPr>
        <w:spacing w:after="60"/>
        <w:jc w:val="center"/>
      </w:pPr>
      <w:r>
        <w:drawing>
          <wp:inline distT="0" distB="0" distL="0" distR="0">
            <wp:extent cx="89154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COC (7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ROUT — ENRUTAMIENTO CENTRAL DE PEDIDOS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de flujo del "Servidor Central" que enruta pedidos a cocina, bar o entrega express.</w:t>
      </w:r>
    </w:p>
    <w:p>
      <w:pPr>
        <w:spacing w:after="60"/>
        <w:jc w:val="center"/>
      </w:pPr>
      <w:r>
        <w:drawing>
          <wp:inline distT="0" distB="0" distL="0" distR="0">
            <wp:extent cx="89154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ROUT (4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PAG — GESTIÓN DE PAGOS (POS Y BACKOFFICE)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los bocetos "Gestión de Pagos", "Módulo de Pagar y Reportar" y "Módulo de Menú Digital QR" (sección de pago en mesa).</w:t>
      </w:r>
    </w:p>
    <w:p>
      <w:pPr>
        <w:spacing w:after="60"/>
        <w:jc w:val="center"/>
      </w:pPr>
      <w:r>
        <w:drawing>
          <wp:inline distT="0" distB="0" distL="0" distR="0">
            <wp:extent cx="89154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PAG (8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INV — GESTIÓN DE INVENTARIOS Y RECETAS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"Módulo de Gestión de Inventarios y Recetas".</w:t>
      </w:r>
    </w:p>
    <w:p>
      <w:pPr>
        <w:spacing w:after="60"/>
        <w:jc w:val="center"/>
      </w:pPr>
      <w:r>
        <w:drawing>
          <wp:inline distT="0" distB="0" distL="0" distR="0">
            <wp:extent cx="89154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INV (7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RES — RESERVACIONES Y LISTA DE ESPERA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"Módulo de Reservaciones y Lista de Espera".</w:t>
      </w:r>
    </w:p>
    <w:p>
      <w:pPr>
        <w:spacing w:after="60"/>
        <w:jc w:val="center"/>
      </w:pPr>
      <w:r>
        <w:drawing>
          <wp:inline distT="0" distB="0" distL="0" distR="0">
            <wp:extent cx="89154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RES (7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DEL — DELIVERY, PEDIDOS ONLINE Y REPARTIDORES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"Módulo de Delivery, Pedidos Online y Repartidores".</w:t>
      </w:r>
    </w:p>
    <w:p>
      <w:pPr>
        <w:spacing w:after="60"/>
        <w:jc w:val="center"/>
      </w:pPr>
      <w:r>
        <w:drawing>
          <wp:inline distT="0" distB="0" distL="0" distR="0">
            <wp:extent cx="89154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DEL (8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RRHH — TURNOS, HORARIOS Y DISTRIBUCIÓN DE PROPINAS (RRHH)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"Módulo de Gestión de Turnos, Horarios y Distribución de Propinas (RRHH)".</w:t>
      </w:r>
    </w:p>
    <w:p>
      <w:pPr>
        <w:spacing w:after="60"/>
        <w:jc w:val="center"/>
      </w:pPr>
      <w:r>
        <w:drawing>
          <wp:inline distT="0" distB="0" distL="0" distR="0">
            <wp:extent cx="89154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RRHH (8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BI — REPORTES, BUSINESS INTELLIGENCE Y ANALÍTICA AVANZADA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"Módulo de Reportes, Business Intelligence (BI) y Analítica Avanzada".</w:t>
      </w:r>
    </w:p>
    <w:p>
      <w:pPr>
        <w:spacing w:after="60"/>
        <w:jc w:val="center"/>
      </w:pPr>
      <w:r>
        <w:drawing>
          <wp:inline distT="0" distB="0" distL="0" distR="0">
            <wp:extent cx="89154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BI (8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QR — MENÚ DIGITAL QR Y AUTO-PEDIDO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"Módulo de Menú Digital QR y Auto-Pedido".</w:t>
      </w:r>
    </w:p>
    <w:p>
      <w:pPr>
        <w:spacing w:after="60"/>
        <w:jc w:val="center"/>
      </w:pPr>
      <w:r>
        <w:drawing>
          <wp:inline distT="0" distB="0" distL="0" distR="0">
            <wp:extent cx="89154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QR (7 tareas)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MÓDULO CRM — FIDELIZACIÓN, CRM Y MARKETING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Basado en el boceto "Módulo de Fidelización, CRM y Marketing para Clientes".</w:t>
      </w:r>
    </w:p>
    <w:p>
      <w:pPr>
        <w:spacing w:after="60"/>
        <w:jc w:val="center"/>
      </w:pPr>
      <w:r>
        <w:drawing>
          <wp:inline distT="0" distB="0" distL="0" distR="0">
            <wp:extent cx="89154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Proceso BPMN — Módulo CRM (8 tareas)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d194435ea9228ebfafc11ba0692f013b405665.png"/><Relationship Id="rId8" Type="http://schemas.openxmlformats.org/officeDocument/2006/relationships/image" Target="media/6f85291b2577add44d13d3c15047416d8c16b1f6.png"/><Relationship Id="rId9" Type="http://schemas.openxmlformats.org/officeDocument/2006/relationships/image" Target="media/866988132bbff165c33fa76321aca8636ebed8ee.png"/><Relationship Id="rId10" Type="http://schemas.openxmlformats.org/officeDocument/2006/relationships/image" Target="media/e5f6bfef2152661e91b8cbc44154b116dce5dc04.png"/><Relationship Id="rId11" Type="http://schemas.openxmlformats.org/officeDocument/2006/relationships/image" Target="media/e289500977b9ca43e26ea6912ee5e109090ab8b5.png"/><Relationship Id="rId12" Type="http://schemas.openxmlformats.org/officeDocument/2006/relationships/image" Target="media/8571ce71a0ed4acb652997e1305b2873c89f6fda.png"/><Relationship Id="rId13" Type="http://schemas.openxmlformats.org/officeDocument/2006/relationships/image" Target="media/7364bc04edd8bd0d808f1e40e26f1912d2582c08.png"/><Relationship Id="rId14" Type="http://schemas.openxmlformats.org/officeDocument/2006/relationships/image" Target="media/78b2049f2746c416e70ee60c4e1a4820f3373a32.png"/><Relationship Id="rId15" Type="http://schemas.openxmlformats.org/officeDocument/2006/relationships/image" Target="media/d4b69c29764cf77c7aab300f1ab56494729531aa.png"/><Relationship Id="rId16" Type="http://schemas.openxmlformats.org/officeDocument/2006/relationships/image" Target="media/60081cf7fcba6c09604ca50c4200d35a066cc1bc.png"/><Relationship Id="rId17" Type="http://schemas.openxmlformats.org/officeDocument/2006/relationships/image" Target="media/9355c9bfd225b5e1770c75aa9c2c09272c8ad64b.png"/><Relationship Id="rId18" Type="http://schemas.openxmlformats.org/officeDocument/2006/relationships/image" Target="media/e055bc8371b8cd6ccb029201ca5e12fe63d64e0b.png"/><Relationship Id="rId19" Type="http://schemas.openxmlformats.org/officeDocument/2006/relationships/image" Target="media/700af8b39cc7669bf236d1c01a0facd73ec88fc3.png"/><Relationship Id="rId20" Type="http://schemas.openxmlformats.org/officeDocument/2006/relationships/image" Target="media/8e43505e9e387de65ddb7f85c26aea40c0b73f2f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2026-08-16T06:13:41.636Z</dcterms:created>
  <dcterms:modified xsi:type="dcterms:W3CDTF">2026-08-16T06:13:41.644Z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