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38"/>
          <w:szCs w:val="38"/>
        </w:rPr>
        <w:t xml:space="preserve">COSTO DE INVERSIÓN Y PRECIOS POR PLAN</w:t>
      </w:r>
    </w:p>
    <w:p>
      <w:pPr>
        <w:spacing w:before="200"/>
        <w:jc w:val="center"/>
      </w:pPr>
      <w:r>
        <w:rPr>
          <w:i/>
          <w:iCs/>
          <w:sz w:val="22"/>
          <w:szCs w:val="22"/>
        </w:rPr>
        <w:t xml:space="preserve">Estimación de inversión de desarrollo y precio de venta sugerido — Planes Básico, Premium y Gold</w:t>
      </w:r>
    </w:p>
    <w:p>
      <w:pPr>
        <w:spacing w:before="500"/>
        <w:jc w:val="center"/>
      </w:pPr>
      <w:r>
        <w:rPr>
          <w:b/>
          <w:bCs/>
          <w:sz w:val="30"/>
          <w:szCs w:val="30"/>
        </w:rPr>
        <w:t xml:space="preserve">Sistema Integral de Gestión para Restaurante</w:t>
      </w:r>
    </w:p>
    <w:p>
      <w:pPr>
        <w:spacing w:before="100"/>
        <w:jc w:val="center"/>
      </w:pPr>
      <w:r>
        <w:rPr>
          <w:color w:val="555555"/>
          <w:sz w:val="22"/>
          <w:szCs w:val="22"/>
        </w:rPr>
        <w:t xml:space="preserve">POS · Cocina (KDS) · Mesas y Salón · Inventario · Delivery · RRHH · BI · CRM</w:t>
      </w:r>
    </w:p>
    <w:p>
      <w:pPr>
        <w:spacing w:before="1000"/>
        <w:jc w:val="center"/>
      </w:pPr>
      <w:r>
        <w:rPr>
          <w:sz w:val="20"/>
          <w:szCs w:val="20"/>
        </w:rPr>
        <w:t xml:space="preserve">Versión 1.0 — 16 de agosto de 2026</w:t>
      </w:r>
    </w:p>
    <w:p>
      <w:pPr>
        <w:spacing w:before="100"/>
        <w:jc w:val="center"/>
      </w:pPr>
      <w:r>
        <w:rPr>
          <w:i/>
          <w:iCs/>
          <w:color w:val="777777"/>
          <w:sz w:val="18"/>
          <w:szCs w:val="18"/>
        </w:rPr>
        <w:t xml:space="preserve">Documento basado en: 101 Requerimientos Funcionales, Requerimientos No Funcionales y Arquitecturas Candidatas ya elaborados</w:t>
      </w:r>
    </w:p>
    <w:p>
      <w:r>
        <w:br w:type="page"/>
      </w:r>
    </w:p>
    <w:p>
      <w:pPr>
        <w:pStyle w:val="Heading1"/>
        <w:spacing w:after="140" w:before="260"/>
      </w:pPr>
      <w:r>
        <w:t xml:space="preserve">1. PROPÓSITO Y METODOLOGÍA</w:t>
      </w:r>
    </w:p>
    <w:p>
      <w:pPr>
        <w:spacing w:after="100"/>
      </w:pPr>
      <w:r>
        <w:rPr>
          <w:sz w:val="21"/>
          <w:szCs w:val="21"/>
        </w:rPr>
        <w:t xml:space="preserve">Este documento estima (a) el costo de inversión en desarrollo requerido para construir cada uno de los 3 planes comerciales del sistema (Básico, Premium, Gold) y (b) un precio de venta mensual sugerido para cada plan, fundamentado en dicho costo. Ambos números parten de una misma base objetiva: los 101 Requerimientos Funcionales (RF) ya especificados en la Especificación de Requerimientos Funcionales, clasificados uno por uno según el plan al que pertenecen y la complejidad de implementación que representan.</w:t>
      </w:r>
    </w:p>
    <w:p>
      <w:pPr>
        <w:pStyle w:val="Heading2"/>
        <w:spacing w:after="140" w:before="260"/>
      </w:pPr>
      <w:r>
        <w:t xml:space="preserve">Metodología en 5 pasos</w:t>
      </w:r>
    </w:p>
    <w:p>
      <w:pPr>
        <w:spacing w:after="60"/>
      </w:pPr>
      <w:r>
        <w:rPr>
          <w:b/>
          <w:bCs/>
          <w:sz w:val="20"/>
          <w:szCs w:val="20"/>
        </w:rPr>
        <w:t xml:space="preserve">•  </w:t>
      </w:r>
      <w:r>
        <w:rPr>
          <w:sz w:val="20"/>
          <w:szCs w:val="20"/>
        </w:rPr>
        <w:t xml:space="preserve">Paso 1 — Clasificación por plan: cada uno de los 101 RF se asignó a Básico, Premium o Gold. Los planes son acumulativos (Premium incluye todo Básico; Gold incluye todo Premium), replicando el criterio que ya se definió para los módulos de Autenticación y Personal en los bocetos originales.</w:t>
      </w:r>
    </w:p>
    <w:p>
      <w:pPr>
        <w:spacing w:after="60"/>
      </w:pPr>
      <w:r>
        <w:rPr>
          <w:b/>
          <w:bCs/>
          <w:sz w:val="20"/>
          <w:szCs w:val="20"/>
        </w:rPr>
        <w:t xml:space="preserve">•  </w:t>
      </w:r>
      <w:r>
        <w:rPr>
          <w:sz w:val="20"/>
          <w:szCs w:val="20"/>
        </w:rPr>
        <w:t xml:space="preserve">Paso 2 — Clasificación por complejidad: cada RF se evaluó como complejidad Baja, Media o Alta según su naturaleza técnica (CRUD simple vs. integración externa, tiempo real, biometría, algoritmos de enrutamiento, etc.).</w:t>
      </w:r>
    </w:p>
    <w:p>
      <w:pPr>
        <w:spacing w:after="60"/>
      </w:pPr>
      <w:r>
        <w:rPr>
          <w:b/>
          <w:bCs/>
          <w:sz w:val="20"/>
          <w:szCs w:val="20"/>
        </w:rPr>
        <w:t xml:space="preserve">•  </w:t>
      </w:r>
      <w:r>
        <w:rPr>
          <w:sz w:val="20"/>
          <w:szCs w:val="20"/>
        </w:rPr>
        <w:t xml:space="preserve">Paso 3 — Conversión a horas: se asignaron horas de desarrollo estándar por nivel de complejidad (Baja = 6h, Media = 14h, Alta = 28h), sumando las horas de todos los RF de cada plan.</w:t>
      </w:r>
    </w:p>
    <w:p>
      <w:pPr>
        <w:spacing w:after="60"/>
      </w:pPr>
      <w:r>
        <w:rPr>
          <w:b/>
          <w:bCs/>
          <w:sz w:val="20"/>
          <w:szCs w:val="20"/>
        </w:rPr>
        <w:t xml:space="preserve">•  </w:t>
      </w:r>
      <w:r>
        <w:rPr>
          <w:sz w:val="20"/>
          <w:szCs w:val="20"/>
        </w:rPr>
        <w:t xml:space="preserve">Paso 4 — Costeo: se aplicó una tarifa por hora en Quetzales más un porcentaje de sobrecostos (QA, gestión de proyecto, contingencia) y horas fijas de arranque (infraestructura y diseño base).</w:t>
      </w:r>
    </w:p>
    <w:p>
      <w:pPr>
        <w:spacing w:after="60"/>
      </w:pPr>
      <w:r>
        <w:rPr>
          <w:b/>
          <w:bCs/>
          <w:sz w:val="20"/>
          <w:szCs w:val="20"/>
        </w:rPr>
        <w:t xml:space="preserve">•  </w:t>
      </w:r>
      <w:r>
        <w:rPr>
          <w:sz w:val="20"/>
          <w:szCs w:val="20"/>
        </w:rPr>
        <w:t xml:space="preserve">Paso 5 — Precio de venta: se propuso un precio mensual por plan que recupere la inversión en un plazo objetivo asumiendo una cantidad de clientes, más un margen operativo, contrastado contra referencias reales del mercado guatemalteco y regional.</w:t>
      </w:r>
    </w:p>
    <w:p>
      <w:pPr>
        <w:spacing w:after="100"/>
      </w:pPr>
      <w:r>
        <w:rPr>
          <w:i/>
          <w:iCs/>
          <w:color w:val="555555"/>
          <w:sz w:val="19"/>
          <w:szCs w:val="19"/>
        </w:rPr>
        <w:t xml:space="preserve">Todos los supuestos (tarifa por hora, horas por complejidad, número de clientes objetivo, plazo de recuperación) están explícitos en la sección 2 y son ajustables — este documento es un modelo de estimación, no una cotización cerrada.</w:t>
      </w:r>
    </w:p>
    <w:p>
      <w:pPr>
        <w:pStyle w:val="Heading1"/>
        <w:spacing w:after="140" w:before="260"/>
      </w:pPr>
      <w:r>
        <w:t xml:space="preserve">2. SUPUESTOS Y TARIFA 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Tarifa por hora de desarrollo</w:t>
            </w:r>
          </w:p>
        </w:tc>
        <w:tc>
          <w:tcPr>
            <w:tcW w:type="dxa" w:w="7480"/>
            <w:tcMar>
              <w:top w:type="dxa" w:w="80"/>
              <w:left w:type="dxa" w:w="100"/>
              <w:bottom w:type="dxa" w:w="80"/>
              <w:right w:type="dxa" w:w="100"/>
            </w:tcMar>
            <w:vAlign w:val="center"/>
          </w:tcPr>
          <w:p>
            <w:pPr>
              <w:spacing w:after="100"/>
            </w:pPr>
            <w:r>
              <w:rPr>
                <w:sz w:val="20"/>
                <w:szCs w:val="20"/>
              </w:rPr>
              <w:t xml:space="preserve">Q 150.00/hora — tarifa mixta propuesta para el mercado guatemalteco de desarrollo de software a medida (combina nivel medio-senior; el mercado local ronda Q100-180/h para desarrolladores medios y Q200-300/h para senior/arquitectos). Ajustable.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Horas por complejidad</w:t>
            </w:r>
          </w:p>
        </w:tc>
        <w:tc>
          <w:tcPr>
            <w:tcW w:type="dxa" w:w="7480"/>
            <w:tcMar>
              <w:top w:type="dxa" w:w="80"/>
              <w:left w:type="dxa" w:w="100"/>
              <w:bottom w:type="dxa" w:w="80"/>
              <w:right w:type="dxa" w:w="100"/>
            </w:tcMar>
            <w:vAlign w:val="center"/>
          </w:tcPr>
          <w:p>
            <w:pPr>
              <w:spacing w:after="100"/>
            </w:pPr>
            <w:r>
              <w:rPr>
                <w:sz w:val="20"/>
                <w:szCs w:val="20"/>
              </w:rPr>
              <w:t xml:space="preserve">Baja = 6 h · Media = 14 h · Alta = 28 h (estimación de implementación completa: backend + frontend + prueba unitaria básica por requerimiento).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Sobrecostos aplicados</w:t>
            </w:r>
          </w:p>
        </w:tc>
        <w:tc>
          <w:tcPr>
            <w:tcW w:type="dxa" w:w="7480"/>
            <w:tcMar>
              <w:top w:type="dxa" w:w="80"/>
              <w:left w:type="dxa" w:w="100"/>
              <w:bottom w:type="dxa" w:w="80"/>
              <w:right w:type="dxa" w:w="100"/>
            </w:tcMar>
            <w:vAlign w:val="center"/>
          </w:tcPr>
          <w:p>
            <w:pPr>
              <w:spacing w:after="100"/>
            </w:pPr>
            <w:r>
              <w:rPr>
                <w:sz w:val="20"/>
                <w:szCs w:val="20"/>
              </w:rPr>
              <w:t xml:space="preserve">QA / Pruebas: +20% · Gestión de proyecto: +15% · Contingencia: +10% → multiplicador total de 1.45x sobre las horas de desarrollo puro.</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Horas fijas de arranque</w:t>
            </w:r>
          </w:p>
        </w:tc>
        <w:tc>
          <w:tcPr>
            <w:tcW w:type="dxa" w:w="7480"/>
            <w:tcMar>
              <w:top w:type="dxa" w:w="80"/>
              <w:left w:type="dxa" w:w="100"/>
              <w:bottom w:type="dxa" w:w="80"/>
              <w:right w:type="dxa" w:w="100"/>
            </w:tcMar>
            <w:vAlign w:val="center"/>
          </w:tcPr>
          <w:p>
            <w:pPr>
              <w:spacing w:after="100"/>
            </w:pPr>
            <w:r>
              <w:rPr>
                <w:sz w:val="20"/>
                <w:szCs w:val="20"/>
              </w:rPr>
              <w:t xml:space="preserve">Infraestructura y DevOps (Docker, CI/CD, ambientes): 120 h · Diseño base (sistema de diseño, mockups): 80 h — se cargan una sola vez, al Plan Básico, ya que Premium y Gold se construyen sobre esa misma base.</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Equipo asumido para cronograma</w:t>
            </w:r>
          </w:p>
        </w:tc>
        <w:tc>
          <w:tcPr>
            <w:tcW w:type="dxa" w:w="7480"/>
            <w:tcMar>
              <w:top w:type="dxa" w:w="80"/>
              <w:left w:type="dxa" w:w="100"/>
              <w:bottom w:type="dxa" w:w="80"/>
              <w:right w:type="dxa" w:w="100"/>
            </w:tcMar>
            <w:vAlign w:val="center"/>
          </w:tcPr>
          <w:p>
            <w:pPr>
              <w:spacing w:after="100"/>
            </w:pPr>
            <w:r>
              <w:rPr>
                <w:sz w:val="20"/>
                <w:szCs w:val="20"/>
              </w:rPr>
              <w:t xml:space="preserve">1 desarrollador (escenario solo) o 2 desarrolladores (escenario equipo pequeño), 40 horas/semana por persona.</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Clientes objetivo (año 1)</w:t>
            </w:r>
          </w:p>
        </w:tc>
        <w:tc>
          <w:tcPr>
            <w:tcW w:type="dxa" w:w="7480"/>
            <w:tcMar>
              <w:top w:type="dxa" w:w="80"/>
              <w:left w:type="dxa" w:w="100"/>
              <w:bottom w:type="dxa" w:w="80"/>
              <w:right w:type="dxa" w:w="100"/>
            </w:tcMar>
            <w:vAlign w:val="center"/>
          </w:tcPr>
          <w:p>
            <w:pPr>
              <w:spacing w:after="100"/>
            </w:pPr>
            <w:r>
              <w:rPr>
                <w:sz w:val="20"/>
                <w:szCs w:val="20"/>
              </w:rPr>
              <w:t xml:space="preserve">20 restaurantes — supuesto de mercado usado únicamente para calcular el precio de venta sugerido (sección 6), no afecta el costo de inversión.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Plazo objetivo de recuperación</w:t>
            </w:r>
          </w:p>
        </w:tc>
        <w:tc>
          <w:tcPr>
            <w:tcW w:type="dxa" w:w="7480"/>
            <w:tcMar>
              <w:top w:type="dxa" w:w="80"/>
              <w:left w:type="dxa" w:w="100"/>
              <w:bottom w:type="dxa" w:w="80"/>
              <w:right w:type="dxa" w:w="100"/>
            </w:tcMar>
            <w:vAlign w:val="center"/>
          </w:tcPr>
          <w:p>
            <w:pPr>
              <w:spacing w:after="100"/>
            </w:pPr>
            <w:r>
              <w:rPr>
                <w:sz w:val="20"/>
                <w:szCs w:val="20"/>
              </w:rPr>
              <w:t xml:space="preserve">18 meses desde el lanzamiento de cada plan.</w:t>
            </w:r>
          </w:p>
        </w:tc>
      </w:tr>
      <w:tr>
        <w:tc>
          <w:tcPr>
            <w:tcW w:type="dxa" w:w="2600"/>
            <w:shd w:fill="DCE6F1" w:val="clear"/>
            <w:tcMar>
              <w:top w:type="dxa" w:w="80"/>
              <w:left w:type="dxa" w:w="100"/>
              <w:bottom w:type="dxa" w:w="80"/>
              <w:right w:type="dxa" w:w="100"/>
            </w:tcMar>
            <w:vAlign w:val="center"/>
          </w:tcPr>
          <w:p>
            <w:pPr>
              <w:spacing w:after="100"/>
            </w:pPr>
            <w:r>
              <w:rPr>
                <w:b/>
                <w:bCs/>
                <w:sz w:val="20"/>
                <w:szCs w:val="20"/>
              </w:rPr>
              <w:t xml:space="preserve">Margen operativo adicional</w:t>
            </w:r>
          </w:p>
        </w:tc>
        <w:tc>
          <w:tcPr>
            <w:tcW w:type="dxa" w:w="7480"/>
            <w:tcMar>
              <w:top w:type="dxa" w:w="80"/>
              <w:left w:type="dxa" w:w="100"/>
              <w:bottom w:type="dxa" w:w="80"/>
              <w:right w:type="dxa" w:w="100"/>
            </w:tcMar>
            <w:vAlign w:val="center"/>
          </w:tcPr>
          <w:p>
            <w:pPr>
              <w:spacing w:after="100"/>
            </w:pPr>
            <w:r>
              <w:rPr>
                <w:sz w:val="20"/>
                <w:szCs w:val="20"/>
              </w:rPr>
              <w:t xml:space="preserve">30% sobre el costo recuperado, para cubrir hosting, soporte técnico y mejora continua post-lanzamiento.</w:t>
            </w:r>
          </w:p>
        </w:tc>
      </w:tr>
    </w:tbl>
    <w:p>
      <w:pPr>
        <w:pStyle w:val="Heading1"/>
        <w:spacing w:after="140" w:before="260"/>
      </w:pPr>
      <w:r>
        <w:t xml:space="preserve">3. COMPOSICIÓN DE CADA PLAN</w:t>
      </w:r>
    </w:p>
    <w:p>
      <w:pPr>
        <w:spacing w:after="100"/>
      </w:pPr>
      <w:r>
        <w:rPr>
          <w:i/>
          <w:iCs/>
          <w:sz w:val="19"/>
          <w:szCs w:val="19"/>
        </w:rPr>
        <w:t xml:space="preserve">Cantidad de Requerimientos Funcionales que aporta cada plan, por módulo. Los valores son incrementales (lo que agrega ese plan específico, no acumulado).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880"/>
      </w:tblGrid>
      <w:tr>
        <w:trPr>
          <w:tblHeader/>
        </w:trPr>
        <w:tc>
          <w:tcPr>
            <w:tcW w:type="dxa" w:w="3200"/>
            <w:shd w:fill="1F3864" w:val="clear"/>
            <w:tcMar>
              <w:top w:type="dxa" w:w="80"/>
              <w:left w:type="dxa" w:w="100"/>
              <w:bottom w:type="dxa" w:w="80"/>
              <w:right w:type="dxa" w:w="100"/>
            </w:tcMar>
            <w:vAlign w:val="center"/>
          </w:tcPr>
          <w:p>
            <w:pPr>
              <w:spacing w:after="100"/>
            </w:pPr>
            <w:r>
              <w:rPr>
                <w:b/>
                <w:bCs/>
                <w:color w:val="FFFFFF"/>
                <w:sz w:val="19"/>
                <w:szCs w:val="19"/>
              </w:rPr>
              <w:t xml:space="preserve">Módulo</w:t>
            </w:r>
          </w:p>
        </w:tc>
        <w:tc>
          <w:tcPr>
            <w:tcW w:type="dxa" w:w="1500"/>
            <w:shd w:fill="1F3864" w:val="clear"/>
            <w:tcMar>
              <w:top w:type="dxa" w:w="80"/>
              <w:left w:type="dxa" w:w="100"/>
              <w:bottom w:type="dxa" w:w="80"/>
              <w:right w:type="dxa" w:w="100"/>
            </w:tcMar>
            <w:vAlign w:val="center"/>
          </w:tcPr>
          <w:p>
            <w:pPr>
              <w:spacing w:after="100"/>
            </w:pPr>
            <w:r>
              <w:rPr>
                <w:b/>
                <w:bCs/>
                <w:color w:val="FFFFFF"/>
                <w:sz w:val="19"/>
                <w:szCs w:val="19"/>
              </w:rPr>
              <w:t xml:space="preserve">Básico</w:t>
            </w:r>
          </w:p>
        </w:tc>
        <w:tc>
          <w:tcPr>
            <w:tcW w:type="dxa" w:w="1500"/>
            <w:shd w:fill="1F3864" w:val="clear"/>
            <w:tcMar>
              <w:top w:type="dxa" w:w="80"/>
              <w:left w:type="dxa" w:w="100"/>
              <w:bottom w:type="dxa" w:w="80"/>
              <w:right w:type="dxa" w:w="100"/>
            </w:tcMar>
            <w:vAlign w:val="center"/>
          </w:tcPr>
          <w:p>
            <w:pPr>
              <w:spacing w:after="100"/>
            </w:pPr>
            <w:r>
              <w:rPr>
                <w:b/>
                <w:bCs/>
                <w:color w:val="FFFFFF"/>
                <w:sz w:val="19"/>
                <w:szCs w:val="19"/>
              </w:rPr>
              <w:t xml:space="preserve">Premium (+)</w:t>
            </w:r>
          </w:p>
        </w:tc>
        <w:tc>
          <w:tcPr>
            <w:tcW w:type="dxa" w:w="3880"/>
            <w:shd w:fill="1F3864" w:val="clear"/>
            <w:tcMar>
              <w:top w:type="dxa" w:w="80"/>
              <w:left w:type="dxa" w:w="100"/>
              <w:bottom w:type="dxa" w:w="80"/>
              <w:right w:type="dxa" w:w="100"/>
            </w:tcMar>
            <w:vAlign w:val="center"/>
          </w:tcPr>
          <w:p>
            <w:pPr>
              <w:spacing w:after="100"/>
            </w:pPr>
            <w:r>
              <w:rPr>
                <w:b/>
                <w:bCs/>
                <w:color w:val="FFFFFF"/>
                <w:sz w:val="19"/>
                <w:szCs w:val="19"/>
              </w:rPr>
              <w:t xml:space="preserve">Gold (+)</w:t>
            </w:r>
          </w:p>
        </w:tc>
      </w:tr>
      <w:tr>
        <w:tc>
          <w:tcPr>
            <w:tcW w:type="dxa" w:w="3200"/>
            <w:tcMar>
              <w:top w:type="dxa" w:w="80"/>
              <w:left w:type="dxa" w:w="100"/>
              <w:bottom w:type="dxa" w:w="80"/>
              <w:right w:type="dxa" w:w="100"/>
            </w:tcMar>
            <w:vAlign w:val="center"/>
          </w:tcPr>
          <w:p>
            <w:pPr>
              <w:spacing w:after="100"/>
            </w:pPr>
            <w:r>
              <w:rPr>
                <w:sz w:val="18"/>
                <w:szCs w:val="18"/>
              </w:rPr>
              <w:t xml:space="preserve">AUTH — Autenticación y Control de Acceso</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3880"/>
            <w:tcMar>
              <w:top w:type="dxa" w:w="80"/>
              <w:left w:type="dxa" w:w="100"/>
              <w:bottom w:type="dxa" w:w="80"/>
              <w:right w:type="dxa" w:w="100"/>
            </w:tcMar>
            <w:vAlign w:val="center"/>
          </w:tcPr>
          <w:p>
            <w:pPr>
              <w:spacing w:after="100"/>
              <w:jc w:val="center"/>
            </w:pPr>
            <w:r>
              <w:rPr>
                <w:sz w:val="18"/>
                <w:szCs w:val="18"/>
              </w:rPr>
              <w:t xml:space="preserve">3</w:t>
            </w:r>
          </w:p>
        </w:tc>
      </w:tr>
      <w:tr>
        <w:tc>
          <w:tcPr>
            <w:tcW w:type="dxa" w:w="3200"/>
            <w:tcMar>
              <w:top w:type="dxa" w:w="80"/>
              <w:left w:type="dxa" w:w="100"/>
              <w:bottom w:type="dxa" w:w="80"/>
              <w:right w:type="dxa" w:w="100"/>
            </w:tcMar>
            <w:vAlign w:val="center"/>
          </w:tcPr>
          <w:p>
            <w:pPr>
              <w:spacing w:after="100"/>
            </w:pPr>
            <w:r>
              <w:rPr>
                <w:sz w:val="18"/>
                <w:szCs w:val="18"/>
              </w:rPr>
              <w:t xml:space="preserve">REG — Registro y Gestión de Personal</w:t>
            </w:r>
          </w:p>
        </w:tc>
        <w:tc>
          <w:tcPr>
            <w:tcW w:type="dxa" w:w="1500"/>
            <w:tcMar>
              <w:top w:type="dxa" w:w="80"/>
              <w:left w:type="dxa" w:w="100"/>
              <w:bottom w:type="dxa" w:w="80"/>
              <w:right w:type="dxa" w:w="100"/>
            </w:tcMar>
            <w:vAlign w:val="center"/>
          </w:tcPr>
          <w:p>
            <w:pPr>
              <w:spacing w:after="100"/>
              <w:jc w:val="center"/>
            </w:pPr>
            <w:r>
              <w:rPr>
                <w:sz w:val="18"/>
                <w:szCs w:val="18"/>
              </w:rPr>
              <w:t xml:space="preserve">2</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3880"/>
            <w:tcMar>
              <w:top w:type="dxa" w:w="80"/>
              <w:left w:type="dxa" w:w="100"/>
              <w:bottom w:type="dxa" w:w="80"/>
              <w:right w:type="dxa" w:w="100"/>
            </w:tcMar>
            <w:vAlign w:val="center"/>
          </w:tcPr>
          <w:p>
            <w:pPr>
              <w:spacing w:after="100"/>
              <w:jc w:val="center"/>
            </w:pPr>
            <w:r>
              <w:rPr>
                <w:sz w:val="18"/>
                <w:szCs w:val="18"/>
              </w:rPr>
              <w:t xml:space="preserve">0</w:t>
            </w:r>
          </w:p>
        </w:tc>
      </w:tr>
      <w:tr>
        <w:tc>
          <w:tcPr>
            <w:tcW w:type="dxa" w:w="3200"/>
            <w:tcMar>
              <w:top w:type="dxa" w:w="80"/>
              <w:left w:type="dxa" w:w="100"/>
              <w:bottom w:type="dxa" w:w="80"/>
              <w:right w:type="dxa" w:w="100"/>
            </w:tcMar>
            <w:vAlign w:val="center"/>
          </w:tcPr>
          <w:p>
            <w:pPr>
              <w:spacing w:after="100"/>
            </w:pPr>
            <w:r>
              <w:rPr>
                <w:sz w:val="18"/>
                <w:szCs w:val="18"/>
              </w:rPr>
              <w:t xml:space="preserve">MESA — Gestión de Mesas y Salón (Floor Plan)</w:t>
            </w:r>
          </w:p>
        </w:tc>
        <w:tc>
          <w:tcPr>
            <w:tcW w:type="dxa" w:w="1500"/>
            <w:tcMar>
              <w:top w:type="dxa" w:w="80"/>
              <w:left w:type="dxa" w:w="100"/>
              <w:bottom w:type="dxa" w:w="80"/>
              <w:right w:type="dxa" w:w="100"/>
            </w:tcMar>
            <w:vAlign w:val="center"/>
          </w:tcPr>
          <w:p>
            <w:pPr>
              <w:spacing w:after="100"/>
              <w:jc w:val="center"/>
            </w:pPr>
            <w:r>
              <w:rPr>
                <w:sz w:val="18"/>
                <w:szCs w:val="18"/>
              </w:rPr>
              <w:t xml:space="preserve">5</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3880"/>
            <w:tcMar>
              <w:top w:type="dxa" w:w="80"/>
              <w:left w:type="dxa" w:w="100"/>
              <w:bottom w:type="dxa" w:w="80"/>
              <w:right w:type="dxa" w:w="100"/>
            </w:tcMar>
            <w:vAlign w:val="center"/>
          </w:tcPr>
          <w:p>
            <w:pPr>
              <w:spacing w:after="100"/>
              <w:jc w:val="center"/>
            </w:pPr>
            <w:r>
              <w:rPr>
                <w:sz w:val="18"/>
                <w:szCs w:val="18"/>
              </w:rPr>
              <w:t xml:space="preserve">1</w:t>
            </w:r>
          </w:p>
        </w:tc>
      </w:tr>
      <w:tr>
        <w:tc>
          <w:tcPr>
            <w:tcW w:type="dxa" w:w="3200"/>
            <w:tcMar>
              <w:top w:type="dxa" w:w="80"/>
              <w:left w:type="dxa" w:w="100"/>
              <w:bottom w:type="dxa" w:w="80"/>
              <w:right w:type="dxa" w:w="100"/>
            </w:tcMar>
            <w:vAlign w:val="center"/>
          </w:tcPr>
          <w:p>
            <w:pPr>
              <w:spacing w:after="100"/>
            </w:pPr>
            <w:r>
              <w:rPr>
                <w:sz w:val="18"/>
                <w:szCs w:val="18"/>
              </w:rPr>
              <w:t xml:space="preserve">ORD — Gestión de Órdenes (Mesero)</w:t>
            </w:r>
          </w:p>
        </w:tc>
        <w:tc>
          <w:tcPr>
            <w:tcW w:type="dxa" w:w="1500"/>
            <w:tcMar>
              <w:top w:type="dxa" w:w="80"/>
              <w:left w:type="dxa" w:w="100"/>
              <w:bottom w:type="dxa" w:w="80"/>
              <w:right w:type="dxa" w:w="100"/>
            </w:tcMar>
            <w:vAlign w:val="center"/>
          </w:tcPr>
          <w:p>
            <w:pPr>
              <w:spacing w:after="100"/>
              <w:jc w:val="center"/>
            </w:pPr>
            <w:r>
              <w:rPr>
                <w:sz w:val="18"/>
                <w:szCs w:val="18"/>
              </w:rPr>
              <w:t xml:space="preserve">5</w:t>
            </w:r>
          </w:p>
        </w:tc>
        <w:tc>
          <w:tcPr>
            <w:tcW w:type="dxa" w:w="1500"/>
            <w:tcMar>
              <w:top w:type="dxa" w:w="80"/>
              <w:left w:type="dxa" w:w="100"/>
              <w:bottom w:type="dxa" w:w="80"/>
              <w:right w:type="dxa" w:w="100"/>
            </w:tcMar>
            <w:vAlign w:val="center"/>
          </w:tcPr>
          <w:p>
            <w:pPr>
              <w:spacing w:after="100"/>
              <w:jc w:val="center"/>
            </w:pPr>
            <w:r>
              <w:rPr>
                <w:sz w:val="18"/>
                <w:szCs w:val="18"/>
              </w:rPr>
              <w:t xml:space="preserve">1</w:t>
            </w:r>
          </w:p>
        </w:tc>
        <w:tc>
          <w:tcPr>
            <w:tcW w:type="dxa" w:w="3880"/>
            <w:tcMar>
              <w:top w:type="dxa" w:w="80"/>
              <w:left w:type="dxa" w:w="100"/>
              <w:bottom w:type="dxa" w:w="80"/>
              <w:right w:type="dxa" w:w="100"/>
            </w:tcMar>
            <w:vAlign w:val="center"/>
          </w:tcPr>
          <w:p>
            <w:pPr>
              <w:spacing w:after="100"/>
              <w:jc w:val="center"/>
            </w:pPr>
            <w:r>
              <w:rPr>
                <w:sz w:val="18"/>
                <w:szCs w:val="18"/>
              </w:rPr>
              <w:t xml:space="preserve">0</w:t>
            </w:r>
          </w:p>
        </w:tc>
      </w:tr>
      <w:tr>
        <w:tc>
          <w:tcPr>
            <w:tcW w:type="dxa" w:w="3200"/>
            <w:tcMar>
              <w:top w:type="dxa" w:w="80"/>
              <w:left w:type="dxa" w:w="100"/>
              <w:bottom w:type="dxa" w:w="80"/>
              <w:right w:type="dxa" w:w="100"/>
            </w:tcMar>
            <w:vAlign w:val="center"/>
          </w:tcPr>
          <w:p>
            <w:pPr>
              <w:spacing w:after="100"/>
            </w:pPr>
            <w:r>
              <w:rPr>
                <w:sz w:val="18"/>
                <w:szCs w:val="18"/>
              </w:rPr>
              <w:t xml:space="preserve">COC — Pantallas de Cocina (KDS - Kitchen Display System)</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3880"/>
            <w:tcMar>
              <w:top w:type="dxa" w:w="80"/>
              <w:left w:type="dxa" w:w="100"/>
              <w:bottom w:type="dxa" w:w="80"/>
              <w:right w:type="dxa" w:w="100"/>
            </w:tcMar>
            <w:vAlign w:val="center"/>
          </w:tcPr>
          <w:p>
            <w:pPr>
              <w:spacing w:after="100"/>
              <w:jc w:val="center"/>
            </w:pPr>
            <w:r>
              <w:rPr>
                <w:sz w:val="18"/>
                <w:szCs w:val="18"/>
              </w:rPr>
              <w:t xml:space="preserve">1</w:t>
            </w:r>
          </w:p>
        </w:tc>
      </w:tr>
      <w:tr>
        <w:tc>
          <w:tcPr>
            <w:tcW w:type="dxa" w:w="3200"/>
            <w:tcMar>
              <w:top w:type="dxa" w:w="80"/>
              <w:left w:type="dxa" w:w="100"/>
              <w:bottom w:type="dxa" w:w="80"/>
              <w:right w:type="dxa" w:w="100"/>
            </w:tcMar>
            <w:vAlign w:val="center"/>
          </w:tcPr>
          <w:p>
            <w:pPr>
              <w:spacing w:after="100"/>
            </w:pPr>
            <w:r>
              <w:rPr>
                <w:sz w:val="18"/>
                <w:szCs w:val="18"/>
              </w:rPr>
              <w:t xml:space="preserve">ROUT — Enrutamiento Central de Pedidos</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1500"/>
            <w:tcMar>
              <w:top w:type="dxa" w:w="80"/>
              <w:left w:type="dxa" w:w="100"/>
              <w:bottom w:type="dxa" w:w="80"/>
              <w:right w:type="dxa" w:w="100"/>
            </w:tcMar>
            <w:vAlign w:val="center"/>
          </w:tcPr>
          <w:p>
            <w:pPr>
              <w:spacing w:after="100"/>
              <w:jc w:val="center"/>
            </w:pPr>
            <w:r>
              <w:rPr>
                <w:sz w:val="18"/>
                <w:szCs w:val="18"/>
              </w:rPr>
              <w:t xml:space="preserve">1</w:t>
            </w:r>
          </w:p>
        </w:tc>
        <w:tc>
          <w:tcPr>
            <w:tcW w:type="dxa" w:w="3880"/>
            <w:tcMar>
              <w:top w:type="dxa" w:w="80"/>
              <w:left w:type="dxa" w:w="100"/>
              <w:bottom w:type="dxa" w:w="80"/>
              <w:right w:type="dxa" w:w="100"/>
            </w:tcMar>
            <w:vAlign w:val="center"/>
          </w:tcPr>
          <w:p>
            <w:pPr>
              <w:spacing w:after="100"/>
              <w:jc w:val="center"/>
            </w:pPr>
            <w:r>
              <w:rPr>
                <w:sz w:val="18"/>
                <w:szCs w:val="18"/>
              </w:rPr>
              <w:t xml:space="preserve">0</w:t>
            </w:r>
          </w:p>
        </w:tc>
      </w:tr>
      <w:tr>
        <w:tc>
          <w:tcPr>
            <w:tcW w:type="dxa" w:w="3200"/>
            <w:tcMar>
              <w:top w:type="dxa" w:w="80"/>
              <w:left w:type="dxa" w:w="100"/>
              <w:bottom w:type="dxa" w:w="80"/>
              <w:right w:type="dxa" w:w="100"/>
            </w:tcMar>
            <w:vAlign w:val="center"/>
          </w:tcPr>
          <w:p>
            <w:pPr>
              <w:spacing w:after="100"/>
            </w:pPr>
            <w:r>
              <w:rPr>
                <w:sz w:val="18"/>
                <w:szCs w:val="18"/>
              </w:rPr>
              <w:t xml:space="preserve">PAG — Gestión de Pagos (POS y Backoffice)</w:t>
            </w:r>
          </w:p>
        </w:tc>
        <w:tc>
          <w:tcPr>
            <w:tcW w:type="dxa" w:w="1500"/>
            <w:tcMar>
              <w:top w:type="dxa" w:w="80"/>
              <w:left w:type="dxa" w:w="100"/>
              <w:bottom w:type="dxa" w:w="80"/>
              <w:right w:type="dxa" w:w="100"/>
            </w:tcMar>
            <w:vAlign w:val="center"/>
          </w:tcPr>
          <w:p>
            <w:pPr>
              <w:spacing w:after="100"/>
              <w:jc w:val="center"/>
            </w:pPr>
            <w:r>
              <w:rPr>
                <w:sz w:val="18"/>
                <w:szCs w:val="18"/>
              </w:rPr>
              <w:t xml:space="preserve">5</w:t>
            </w:r>
          </w:p>
        </w:tc>
        <w:tc>
          <w:tcPr>
            <w:tcW w:type="dxa" w:w="1500"/>
            <w:tcMar>
              <w:top w:type="dxa" w:w="80"/>
              <w:left w:type="dxa" w:w="100"/>
              <w:bottom w:type="dxa" w:w="80"/>
              <w:right w:type="dxa" w:w="100"/>
            </w:tcMar>
            <w:vAlign w:val="center"/>
          </w:tcPr>
          <w:p>
            <w:pPr>
              <w:spacing w:after="100"/>
              <w:jc w:val="center"/>
            </w:pPr>
            <w:r>
              <w:rPr>
                <w:sz w:val="18"/>
                <w:szCs w:val="18"/>
              </w:rPr>
              <w:t xml:space="preserve">2</w:t>
            </w:r>
          </w:p>
        </w:tc>
        <w:tc>
          <w:tcPr>
            <w:tcW w:type="dxa" w:w="3880"/>
            <w:tcMar>
              <w:top w:type="dxa" w:w="80"/>
              <w:left w:type="dxa" w:w="100"/>
              <w:bottom w:type="dxa" w:w="80"/>
              <w:right w:type="dxa" w:w="100"/>
            </w:tcMar>
            <w:vAlign w:val="center"/>
          </w:tcPr>
          <w:p>
            <w:pPr>
              <w:spacing w:after="100"/>
              <w:jc w:val="center"/>
            </w:pPr>
            <w:r>
              <w:rPr>
                <w:sz w:val="18"/>
                <w:szCs w:val="18"/>
              </w:rPr>
              <w:t xml:space="preserve">1</w:t>
            </w:r>
          </w:p>
        </w:tc>
      </w:tr>
      <w:tr>
        <w:tc>
          <w:tcPr>
            <w:tcW w:type="dxa" w:w="3200"/>
            <w:tcMar>
              <w:top w:type="dxa" w:w="80"/>
              <w:left w:type="dxa" w:w="100"/>
              <w:bottom w:type="dxa" w:w="80"/>
              <w:right w:type="dxa" w:w="100"/>
            </w:tcMar>
            <w:vAlign w:val="center"/>
          </w:tcPr>
          <w:p>
            <w:pPr>
              <w:spacing w:after="100"/>
            </w:pPr>
            <w:r>
              <w:rPr>
                <w:sz w:val="18"/>
                <w:szCs w:val="18"/>
              </w:rPr>
              <w:t xml:space="preserve">INV — Gestión de Inventarios y Recetas</w:t>
            </w:r>
          </w:p>
        </w:tc>
        <w:tc>
          <w:tcPr>
            <w:tcW w:type="dxa" w:w="1500"/>
            <w:tcMar>
              <w:top w:type="dxa" w:w="80"/>
              <w:left w:type="dxa" w:w="100"/>
              <w:bottom w:type="dxa" w:w="80"/>
              <w:right w:type="dxa" w:w="100"/>
            </w:tcMar>
            <w:vAlign w:val="center"/>
          </w:tcPr>
          <w:p>
            <w:pPr>
              <w:spacing w:after="100"/>
              <w:jc w:val="center"/>
            </w:pPr>
            <w:r>
              <w:rPr>
                <w:sz w:val="18"/>
                <w:szCs w:val="18"/>
              </w:rPr>
              <w:t xml:space="preserve">4</w:t>
            </w:r>
          </w:p>
        </w:tc>
        <w:tc>
          <w:tcPr>
            <w:tcW w:type="dxa" w:w="1500"/>
            <w:tcMar>
              <w:top w:type="dxa" w:w="80"/>
              <w:left w:type="dxa" w:w="100"/>
              <w:bottom w:type="dxa" w:w="80"/>
              <w:right w:type="dxa" w:w="100"/>
            </w:tcMar>
            <w:vAlign w:val="center"/>
          </w:tcPr>
          <w:p>
            <w:pPr>
              <w:spacing w:after="100"/>
              <w:jc w:val="center"/>
            </w:pPr>
            <w:r>
              <w:rPr>
                <w:sz w:val="18"/>
                <w:szCs w:val="18"/>
              </w:rPr>
              <w:t xml:space="preserve">2</w:t>
            </w:r>
          </w:p>
        </w:tc>
        <w:tc>
          <w:tcPr>
            <w:tcW w:type="dxa" w:w="3880"/>
            <w:tcMar>
              <w:top w:type="dxa" w:w="80"/>
              <w:left w:type="dxa" w:w="100"/>
              <w:bottom w:type="dxa" w:w="80"/>
              <w:right w:type="dxa" w:w="100"/>
            </w:tcMar>
            <w:vAlign w:val="center"/>
          </w:tcPr>
          <w:p>
            <w:pPr>
              <w:spacing w:after="100"/>
              <w:jc w:val="center"/>
            </w:pPr>
            <w:r>
              <w:rPr>
                <w:sz w:val="18"/>
                <w:szCs w:val="18"/>
              </w:rPr>
              <w:t xml:space="preserve">1</w:t>
            </w:r>
          </w:p>
        </w:tc>
      </w:tr>
      <w:tr>
        <w:tc>
          <w:tcPr>
            <w:tcW w:type="dxa" w:w="3200"/>
            <w:tcMar>
              <w:top w:type="dxa" w:w="80"/>
              <w:left w:type="dxa" w:w="100"/>
              <w:bottom w:type="dxa" w:w="80"/>
              <w:right w:type="dxa" w:w="100"/>
            </w:tcMar>
            <w:vAlign w:val="center"/>
          </w:tcPr>
          <w:p>
            <w:pPr>
              <w:spacing w:after="100"/>
            </w:pPr>
            <w:r>
              <w:rPr>
                <w:sz w:val="18"/>
                <w:szCs w:val="18"/>
              </w:rPr>
              <w:t xml:space="preserve">RES — Reservaciones y Lista de Espera</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3880"/>
            <w:tcMar>
              <w:top w:type="dxa" w:w="80"/>
              <w:left w:type="dxa" w:w="100"/>
              <w:bottom w:type="dxa" w:w="80"/>
              <w:right w:type="dxa" w:w="100"/>
            </w:tcMar>
            <w:vAlign w:val="center"/>
          </w:tcPr>
          <w:p>
            <w:pPr>
              <w:spacing w:after="100"/>
              <w:jc w:val="center"/>
            </w:pPr>
            <w:r>
              <w:rPr>
                <w:sz w:val="18"/>
                <w:szCs w:val="18"/>
              </w:rPr>
              <w:t xml:space="preserve">1</w:t>
            </w:r>
          </w:p>
        </w:tc>
      </w:tr>
      <w:tr>
        <w:tc>
          <w:tcPr>
            <w:tcW w:type="dxa" w:w="3200"/>
            <w:tcMar>
              <w:top w:type="dxa" w:w="80"/>
              <w:left w:type="dxa" w:w="100"/>
              <w:bottom w:type="dxa" w:w="80"/>
              <w:right w:type="dxa" w:w="100"/>
            </w:tcMar>
            <w:vAlign w:val="center"/>
          </w:tcPr>
          <w:p>
            <w:pPr>
              <w:spacing w:after="100"/>
            </w:pPr>
            <w:r>
              <w:rPr>
                <w:sz w:val="18"/>
                <w:szCs w:val="18"/>
              </w:rPr>
              <w:t xml:space="preserve">DEL — Delivery, Pedidos Online y Repartidores</w:t>
            </w:r>
          </w:p>
        </w:tc>
        <w:tc>
          <w:tcPr>
            <w:tcW w:type="dxa" w:w="1500"/>
            <w:tcMar>
              <w:top w:type="dxa" w:w="80"/>
              <w:left w:type="dxa" w:w="100"/>
              <w:bottom w:type="dxa" w:w="80"/>
              <w:right w:type="dxa" w:w="100"/>
            </w:tcMar>
            <w:vAlign w:val="center"/>
          </w:tcPr>
          <w:p>
            <w:pPr>
              <w:spacing w:after="100"/>
              <w:jc w:val="center"/>
            </w:pPr>
            <w:r>
              <w:rPr>
                <w:sz w:val="18"/>
                <w:szCs w:val="18"/>
              </w:rPr>
              <w:t xml:space="preserve">4</w:t>
            </w:r>
          </w:p>
        </w:tc>
        <w:tc>
          <w:tcPr>
            <w:tcW w:type="dxa" w:w="1500"/>
            <w:tcMar>
              <w:top w:type="dxa" w:w="80"/>
              <w:left w:type="dxa" w:w="100"/>
              <w:bottom w:type="dxa" w:w="80"/>
              <w:right w:type="dxa" w:w="100"/>
            </w:tcMar>
            <w:vAlign w:val="center"/>
          </w:tcPr>
          <w:p>
            <w:pPr>
              <w:spacing w:after="100"/>
              <w:jc w:val="center"/>
            </w:pPr>
            <w:r>
              <w:rPr>
                <w:sz w:val="18"/>
                <w:szCs w:val="18"/>
              </w:rPr>
              <w:t xml:space="preserve">2</w:t>
            </w:r>
          </w:p>
        </w:tc>
        <w:tc>
          <w:tcPr>
            <w:tcW w:type="dxa" w:w="3880"/>
            <w:tcMar>
              <w:top w:type="dxa" w:w="80"/>
              <w:left w:type="dxa" w:w="100"/>
              <w:bottom w:type="dxa" w:w="80"/>
              <w:right w:type="dxa" w:w="100"/>
            </w:tcMar>
            <w:vAlign w:val="center"/>
          </w:tcPr>
          <w:p>
            <w:pPr>
              <w:spacing w:after="100"/>
              <w:jc w:val="center"/>
            </w:pPr>
            <w:r>
              <w:rPr>
                <w:sz w:val="18"/>
                <w:szCs w:val="18"/>
              </w:rPr>
              <w:t xml:space="preserve">2</w:t>
            </w:r>
          </w:p>
        </w:tc>
      </w:tr>
      <w:tr>
        <w:tc>
          <w:tcPr>
            <w:tcW w:type="dxa" w:w="3200"/>
            <w:tcMar>
              <w:top w:type="dxa" w:w="80"/>
              <w:left w:type="dxa" w:w="100"/>
              <w:bottom w:type="dxa" w:w="80"/>
              <w:right w:type="dxa" w:w="100"/>
            </w:tcMar>
            <w:vAlign w:val="center"/>
          </w:tcPr>
          <w:p>
            <w:pPr>
              <w:spacing w:after="100"/>
            </w:pPr>
            <w:r>
              <w:rPr>
                <w:sz w:val="18"/>
                <w:szCs w:val="18"/>
              </w:rPr>
              <w:t xml:space="preserve">RRHH — Turnos, Horarios y Distribución de Propinas (RRHH)</w:t>
            </w:r>
          </w:p>
        </w:tc>
        <w:tc>
          <w:tcPr>
            <w:tcW w:type="dxa" w:w="1500"/>
            <w:tcMar>
              <w:top w:type="dxa" w:w="80"/>
              <w:left w:type="dxa" w:w="100"/>
              <w:bottom w:type="dxa" w:w="80"/>
              <w:right w:type="dxa" w:w="100"/>
            </w:tcMar>
            <w:vAlign w:val="center"/>
          </w:tcPr>
          <w:p>
            <w:pPr>
              <w:spacing w:after="100"/>
              <w:jc w:val="center"/>
            </w:pPr>
            <w:r>
              <w:rPr>
                <w:sz w:val="18"/>
                <w:szCs w:val="18"/>
              </w:rPr>
              <w:t xml:space="preserve">2</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3880"/>
            <w:tcMar>
              <w:top w:type="dxa" w:w="80"/>
              <w:left w:type="dxa" w:w="100"/>
              <w:bottom w:type="dxa" w:w="80"/>
              <w:right w:type="dxa" w:w="100"/>
            </w:tcMar>
            <w:vAlign w:val="center"/>
          </w:tcPr>
          <w:p>
            <w:pPr>
              <w:spacing w:after="100"/>
              <w:jc w:val="center"/>
            </w:pPr>
            <w:r>
              <w:rPr>
                <w:sz w:val="18"/>
                <w:szCs w:val="18"/>
              </w:rPr>
              <w:t xml:space="preserve">3</w:t>
            </w:r>
          </w:p>
        </w:tc>
      </w:tr>
      <w:tr>
        <w:tc>
          <w:tcPr>
            <w:tcW w:type="dxa" w:w="3200"/>
            <w:tcMar>
              <w:top w:type="dxa" w:w="80"/>
              <w:left w:type="dxa" w:w="100"/>
              <w:bottom w:type="dxa" w:w="80"/>
              <w:right w:type="dxa" w:w="100"/>
            </w:tcMar>
            <w:vAlign w:val="center"/>
          </w:tcPr>
          <w:p>
            <w:pPr>
              <w:spacing w:after="100"/>
            </w:pPr>
            <w:r>
              <w:rPr>
                <w:sz w:val="18"/>
                <w:szCs w:val="18"/>
              </w:rPr>
              <w:t xml:space="preserve">BI — Reportes, Business Intelligence y Analítica Avanzada</w:t>
            </w:r>
          </w:p>
        </w:tc>
        <w:tc>
          <w:tcPr>
            <w:tcW w:type="dxa" w:w="1500"/>
            <w:tcMar>
              <w:top w:type="dxa" w:w="80"/>
              <w:left w:type="dxa" w:w="100"/>
              <w:bottom w:type="dxa" w:w="80"/>
              <w:right w:type="dxa" w:w="100"/>
            </w:tcMar>
            <w:vAlign w:val="center"/>
          </w:tcPr>
          <w:p>
            <w:pPr>
              <w:spacing w:after="100"/>
              <w:jc w:val="center"/>
            </w:pPr>
            <w:r>
              <w:rPr>
                <w:sz w:val="18"/>
                <w:szCs w:val="18"/>
              </w:rPr>
              <w:t xml:space="preserve">2</w:t>
            </w:r>
          </w:p>
        </w:tc>
        <w:tc>
          <w:tcPr>
            <w:tcW w:type="dxa" w:w="1500"/>
            <w:tcMar>
              <w:top w:type="dxa" w:w="80"/>
              <w:left w:type="dxa" w:w="100"/>
              <w:bottom w:type="dxa" w:w="80"/>
              <w:right w:type="dxa" w:w="100"/>
            </w:tcMar>
            <w:vAlign w:val="center"/>
          </w:tcPr>
          <w:p>
            <w:pPr>
              <w:spacing w:after="100"/>
              <w:jc w:val="center"/>
            </w:pPr>
            <w:r>
              <w:rPr>
                <w:sz w:val="18"/>
                <w:szCs w:val="18"/>
              </w:rPr>
              <w:t xml:space="preserve">4</w:t>
            </w:r>
          </w:p>
        </w:tc>
        <w:tc>
          <w:tcPr>
            <w:tcW w:type="dxa" w:w="3880"/>
            <w:tcMar>
              <w:top w:type="dxa" w:w="80"/>
              <w:left w:type="dxa" w:w="100"/>
              <w:bottom w:type="dxa" w:w="80"/>
              <w:right w:type="dxa" w:w="100"/>
            </w:tcMar>
            <w:vAlign w:val="center"/>
          </w:tcPr>
          <w:p>
            <w:pPr>
              <w:spacing w:after="100"/>
              <w:jc w:val="center"/>
            </w:pPr>
            <w:r>
              <w:rPr>
                <w:sz w:val="18"/>
                <w:szCs w:val="18"/>
              </w:rPr>
              <w:t xml:space="preserve">2</w:t>
            </w:r>
          </w:p>
        </w:tc>
      </w:tr>
      <w:tr>
        <w:tc>
          <w:tcPr>
            <w:tcW w:type="dxa" w:w="3200"/>
            <w:tcMar>
              <w:top w:type="dxa" w:w="80"/>
              <w:left w:type="dxa" w:w="100"/>
              <w:bottom w:type="dxa" w:w="80"/>
              <w:right w:type="dxa" w:w="100"/>
            </w:tcMar>
            <w:vAlign w:val="center"/>
          </w:tcPr>
          <w:p>
            <w:pPr>
              <w:spacing w:after="100"/>
            </w:pPr>
            <w:r>
              <w:rPr>
                <w:sz w:val="18"/>
                <w:szCs w:val="18"/>
              </w:rPr>
              <w:t xml:space="preserve">QR — Menú Digital QR y Auto-Pedido</w:t>
            </w:r>
          </w:p>
        </w:tc>
        <w:tc>
          <w:tcPr>
            <w:tcW w:type="dxa" w:w="1500"/>
            <w:tcMar>
              <w:top w:type="dxa" w:w="80"/>
              <w:left w:type="dxa" w:w="100"/>
              <w:bottom w:type="dxa" w:w="80"/>
              <w:right w:type="dxa" w:w="100"/>
            </w:tcMar>
            <w:vAlign w:val="center"/>
          </w:tcPr>
          <w:p>
            <w:pPr>
              <w:spacing w:after="100"/>
              <w:jc w:val="center"/>
            </w:pPr>
            <w:r>
              <w:rPr>
                <w:sz w:val="18"/>
                <w:szCs w:val="18"/>
              </w:rPr>
              <w:t xml:space="preserve">4</w:t>
            </w:r>
          </w:p>
        </w:tc>
        <w:tc>
          <w:tcPr>
            <w:tcW w:type="dxa" w:w="1500"/>
            <w:tcMar>
              <w:top w:type="dxa" w:w="80"/>
              <w:left w:type="dxa" w:w="100"/>
              <w:bottom w:type="dxa" w:w="80"/>
              <w:right w:type="dxa" w:w="100"/>
            </w:tcMar>
            <w:vAlign w:val="center"/>
          </w:tcPr>
          <w:p>
            <w:pPr>
              <w:spacing w:after="100"/>
              <w:jc w:val="center"/>
            </w:pPr>
            <w:r>
              <w:rPr>
                <w:sz w:val="18"/>
                <w:szCs w:val="18"/>
              </w:rPr>
              <w:t xml:space="preserve">2</w:t>
            </w:r>
          </w:p>
        </w:tc>
        <w:tc>
          <w:tcPr>
            <w:tcW w:type="dxa" w:w="3880"/>
            <w:tcMar>
              <w:top w:type="dxa" w:w="80"/>
              <w:left w:type="dxa" w:w="100"/>
              <w:bottom w:type="dxa" w:w="80"/>
              <w:right w:type="dxa" w:w="100"/>
            </w:tcMar>
            <w:vAlign w:val="center"/>
          </w:tcPr>
          <w:p>
            <w:pPr>
              <w:spacing w:after="100"/>
              <w:jc w:val="center"/>
            </w:pPr>
            <w:r>
              <w:rPr>
                <w:sz w:val="18"/>
                <w:szCs w:val="18"/>
              </w:rPr>
              <w:t xml:space="preserve">1</w:t>
            </w:r>
          </w:p>
        </w:tc>
      </w:tr>
      <w:tr>
        <w:tc>
          <w:tcPr>
            <w:tcW w:type="dxa" w:w="3200"/>
            <w:tcMar>
              <w:top w:type="dxa" w:w="80"/>
              <w:left w:type="dxa" w:w="100"/>
              <w:bottom w:type="dxa" w:w="80"/>
              <w:right w:type="dxa" w:w="100"/>
            </w:tcMar>
            <w:vAlign w:val="center"/>
          </w:tcPr>
          <w:p>
            <w:pPr>
              <w:spacing w:after="100"/>
            </w:pPr>
            <w:r>
              <w:rPr>
                <w:sz w:val="18"/>
                <w:szCs w:val="18"/>
              </w:rPr>
              <w:t xml:space="preserve">CRM — Fidelización, CRM y Marketing</w:t>
            </w:r>
          </w:p>
        </w:tc>
        <w:tc>
          <w:tcPr>
            <w:tcW w:type="dxa" w:w="1500"/>
            <w:tcMar>
              <w:top w:type="dxa" w:w="80"/>
              <w:left w:type="dxa" w:w="100"/>
              <w:bottom w:type="dxa" w:w="80"/>
              <w:right w:type="dxa" w:w="100"/>
            </w:tcMar>
            <w:vAlign w:val="center"/>
          </w:tcPr>
          <w:p>
            <w:pPr>
              <w:spacing w:after="100"/>
              <w:jc w:val="center"/>
            </w:pPr>
            <w:r>
              <w:rPr>
                <w:sz w:val="18"/>
                <w:szCs w:val="18"/>
              </w:rPr>
              <w:t xml:space="preserve">2</w:t>
            </w:r>
          </w:p>
        </w:tc>
        <w:tc>
          <w:tcPr>
            <w:tcW w:type="dxa" w:w="1500"/>
            <w:tcMar>
              <w:top w:type="dxa" w:w="80"/>
              <w:left w:type="dxa" w:w="100"/>
              <w:bottom w:type="dxa" w:w="80"/>
              <w:right w:type="dxa" w:w="100"/>
            </w:tcMar>
            <w:vAlign w:val="center"/>
          </w:tcPr>
          <w:p>
            <w:pPr>
              <w:spacing w:after="100"/>
              <w:jc w:val="center"/>
            </w:pPr>
            <w:r>
              <w:rPr>
                <w:sz w:val="18"/>
                <w:szCs w:val="18"/>
              </w:rPr>
              <w:t xml:space="preserve">3</w:t>
            </w:r>
          </w:p>
        </w:tc>
        <w:tc>
          <w:tcPr>
            <w:tcW w:type="dxa" w:w="3880"/>
            <w:tcMar>
              <w:top w:type="dxa" w:w="80"/>
              <w:left w:type="dxa" w:w="100"/>
              <w:bottom w:type="dxa" w:w="80"/>
              <w:right w:type="dxa" w:w="100"/>
            </w:tcMar>
            <w:vAlign w:val="center"/>
          </w:tcPr>
          <w:p>
            <w:pPr>
              <w:spacing w:after="100"/>
              <w:jc w:val="center"/>
            </w:pPr>
            <w:r>
              <w:rPr>
                <w:sz w:val="18"/>
                <w:szCs w:val="18"/>
              </w:rPr>
              <w:t xml:space="preserve">3</w:t>
            </w:r>
          </w:p>
        </w:tc>
      </w:tr>
      <w:tr>
        <w:tc>
          <w:tcPr>
            <w:tcW w:type="dxa" w:w="3200"/>
            <w:shd w:fill="DCE6F1" w:val="clear"/>
            <w:tcMar>
              <w:top w:type="dxa" w:w="80"/>
              <w:left w:type="dxa" w:w="100"/>
              <w:bottom w:type="dxa" w:w="80"/>
              <w:right w:type="dxa" w:w="100"/>
            </w:tcMar>
            <w:vAlign w:val="center"/>
          </w:tcPr>
          <w:p>
            <w:pPr>
              <w:spacing w:after="100"/>
            </w:pPr>
            <w:r>
              <w:rPr>
                <w:b/>
                <w:bCs/>
                <w:sz w:val="19"/>
                <w:szCs w:val="19"/>
              </w:rPr>
              <w:t xml:space="preserve">TOTAL</w:t>
            </w:r>
          </w:p>
        </w:tc>
        <w:tc>
          <w:tcPr>
            <w:tcW w:type="dxa" w:w="1500"/>
            <w:shd w:fill="DCE6F1" w:val="clear"/>
            <w:tcMar>
              <w:top w:type="dxa" w:w="80"/>
              <w:left w:type="dxa" w:w="100"/>
              <w:bottom w:type="dxa" w:w="80"/>
              <w:right w:type="dxa" w:w="100"/>
            </w:tcMar>
            <w:vAlign w:val="center"/>
          </w:tcPr>
          <w:p>
            <w:pPr>
              <w:spacing w:after="100"/>
              <w:jc w:val="center"/>
            </w:pPr>
            <w:r>
              <w:rPr>
                <w:b/>
                <w:bCs/>
                <w:sz w:val="19"/>
                <w:szCs w:val="19"/>
              </w:rPr>
              <w:t xml:space="preserve">47</w:t>
            </w:r>
          </w:p>
        </w:tc>
        <w:tc>
          <w:tcPr>
            <w:tcW w:type="dxa" w:w="1500"/>
            <w:shd w:fill="DCE6F1" w:val="clear"/>
            <w:tcMar>
              <w:top w:type="dxa" w:w="80"/>
              <w:left w:type="dxa" w:w="100"/>
              <w:bottom w:type="dxa" w:w="80"/>
              <w:right w:type="dxa" w:w="100"/>
            </w:tcMar>
            <w:vAlign w:val="center"/>
          </w:tcPr>
          <w:p>
            <w:pPr>
              <w:spacing w:after="100"/>
              <w:jc w:val="center"/>
            </w:pPr>
            <w:r>
              <w:rPr>
                <w:b/>
                <w:bCs/>
                <w:sz w:val="19"/>
                <w:szCs w:val="19"/>
              </w:rPr>
              <w:t xml:space="preserve">35</w:t>
            </w:r>
          </w:p>
        </w:tc>
        <w:tc>
          <w:tcPr>
            <w:tcW w:type="dxa" w:w="3880"/>
            <w:shd w:fill="DCE6F1" w:val="clear"/>
            <w:tcMar>
              <w:top w:type="dxa" w:w="80"/>
              <w:left w:type="dxa" w:w="100"/>
              <w:bottom w:type="dxa" w:w="80"/>
              <w:right w:type="dxa" w:w="100"/>
            </w:tcMar>
            <w:vAlign w:val="center"/>
          </w:tcPr>
          <w:p>
            <w:pPr>
              <w:spacing w:after="100"/>
              <w:jc w:val="center"/>
            </w:pPr>
            <w:r>
              <w:rPr>
                <w:b/>
                <w:bCs/>
                <w:sz w:val="19"/>
                <w:szCs w:val="19"/>
              </w:rPr>
              <w:t xml:space="preserve">19</w:t>
            </w:r>
          </w:p>
        </w:tc>
      </w:tr>
    </w:tbl>
    <w:p>
      <w:pPr>
        <w:spacing w:before="160"/>
      </w:pPr>
      <w:r>
        <w:rPr>
          <w:sz w:val="20"/>
          <w:szCs w:val="20"/>
        </w:rPr>
        <w:t xml:space="preserve">De los 101 RF totales: el Plan Básico cubre 47 (47%) — la operación esencial de un restaurante de servicio completo. El Plan Premium añade 35 RF más (35%) enfocados en automatización, alertas e integraciones (WhatsApp, dos factores, split-check). El Plan Gold añade 19 RF finales (19%) de analítica avanzada, biometría, GPS e integraciones completas de fidelización.</w:t>
      </w:r>
    </w:p>
    <w:p>
      <w:pPr>
        <w:pStyle w:val="Heading1"/>
        <w:spacing w:after="140" w:before="260"/>
      </w:pPr>
      <w:r>
        <w:t xml:space="preserve">4. DESGLOSE DE HORAS Y COSTO DE INVERSIÓN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2680"/>
      </w:tblGrid>
      <w:tr>
        <w:trPr>
          <w:tblHeader/>
        </w:trPr>
        <w:tc>
          <w:tcPr>
            <w:tcW w:type="dxa" w:w="2000"/>
            <w:shd w:fill="1F3864" w:val="clear"/>
            <w:tcMar>
              <w:top w:type="dxa" w:w="80"/>
              <w:left w:type="dxa" w:w="100"/>
              <w:bottom w:type="dxa" w:w="80"/>
              <w:right w:type="dxa" w:w="100"/>
            </w:tcMar>
            <w:vAlign w:val="center"/>
          </w:tcPr>
          <w:p>
            <w:pPr>
              <w:spacing w:after="100"/>
            </w:pPr>
            <w:r>
              <w:rPr>
                <w:b/>
                <w:bCs/>
                <w:color w:val="FFFFFF"/>
                <w:sz w:val="19"/>
                <w:szCs w:val="19"/>
              </w:rPr>
              <w:t xml:space="preserve">Plan</w:t>
            </w:r>
          </w:p>
        </w:tc>
        <w:tc>
          <w:tcPr>
            <w:tcW w:type="dxa" w:w="1800"/>
            <w:shd w:fill="1F3864" w:val="clear"/>
            <w:tcMar>
              <w:top w:type="dxa" w:w="80"/>
              <w:left w:type="dxa" w:w="100"/>
              <w:bottom w:type="dxa" w:w="80"/>
              <w:right w:type="dxa" w:w="100"/>
            </w:tcMar>
            <w:vAlign w:val="center"/>
          </w:tcPr>
          <w:p>
            <w:pPr>
              <w:spacing w:after="100"/>
            </w:pPr>
            <w:r>
              <w:rPr>
                <w:b/>
                <w:bCs/>
                <w:color w:val="FFFFFF"/>
                <w:sz w:val="19"/>
                <w:szCs w:val="19"/>
              </w:rPr>
              <w:t xml:space="preserve">RF que aporta</w:t>
            </w:r>
          </w:p>
        </w:tc>
        <w:tc>
          <w:tcPr>
            <w:tcW w:type="dxa" w:w="1800"/>
            <w:shd w:fill="1F3864" w:val="clear"/>
            <w:tcMar>
              <w:top w:type="dxa" w:w="80"/>
              <w:left w:type="dxa" w:w="100"/>
              <w:bottom w:type="dxa" w:w="80"/>
              <w:right w:type="dxa" w:w="100"/>
            </w:tcMar>
            <w:vAlign w:val="center"/>
          </w:tcPr>
          <w:p>
            <w:pPr>
              <w:spacing w:after="100"/>
            </w:pPr>
            <w:r>
              <w:rPr>
                <w:b/>
                <w:bCs/>
                <w:color w:val="FFFFFF"/>
                <w:sz w:val="19"/>
                <w:szCs w:val="19"/>
              </w:rPr>
              <w:t xml:space="preserve">Horas dev. puras</w:t>
            </w:r>
          </w:p>
        </w:tc>
        <w:tc>
          <w:tcPr>
            <w:tcW w:type="dxa" w:w="1800"/>
            <w:shd w:fill="1F3864" w:val="clear"/>
            <w:tcMar>
              <w:top w:type="dxa" w:w="80"/>
              <w:left w:type="dxa" w:w="100"/>
              <w:bottom w:type="dxa" w:w="80"/>
              <w:right w:type="dxa" w:w="100"/>
            </w:tcMar>
            <w:vAlign w:val="center"/>
          </w:tcPr>
          <w:p>
            <w:pPr>
              <w:spacing w:after="100"/>
            </w:pPr>
            <w:r>
              <w:rPr>
                <w:b/>
                <w:bCs/>
                <w:color w:val="FFFFFF"/>
                <w:sz w:val="19"/>
                <w:szCs w:val="19"/>
              </w:rPr>
              <w:t xml:space="preserve">Horas con sobrecostos</w:t>
            </w:r>
          </w:p>
        </w:tc>
        <w:tc>
          <w:tcPr>
            <w:tcW w:type="dxa" w:w="2680"/>
            <w:shd w:fill="1F3864" w:val="clear"/>
            <w:tcMar>
              <w:top w:type="dxa" w:w="80"/>
              <w:left w:type="dxa" w:w="100"/>
              <w:bottom w:type="dxa" w:w="80"/>
              <w:right w:type="dxa" w:w="100"/>
            </w:tcMar>
            <w:vAlign w:val="center"/>
          </w:tcPr>
          <w:p>
            <w:pPr>
              <w:spacing w:after="100"/>
            </w:pPr>
            <w:r>
              <w:rPr>
                <w:b/>
                <w:bCs/>
                <w:color w:val="FFFFFF"/>
                <w:sz w:val="19"/>
                <w:szCs w:val="19"/>
              </w:rPr>
              <w:t xml:space="preserve">Inversión incremental</w:t>
            </w:r>
          </w:p>
        </w:tc>
      </w:tr>
      <w:tr>
        <w:tc>
          <w:tcPr>
            <w:tcW w:type="dxa" w:w="2000"/>
            <w:tcMar>
              <w:top w:type="dxa" w:w="80"/>
              <w:left w:type="dxa" w:w="100"/>
              <w:bottom w:type="dxa" w:w="80"/>
              <w:right w:type="dxa" w:w="100"/>
            </w:tcMar>
            <w:vAlign w:val="center"/>
          </w:tcPr>
          <w:p>
            <w:pPr>
              <w:spacing w:after="100"/>
            </w:pPr>
            <w:r>
              <w:rPr>
                <w:b/>
                <w:bCs/>
                <w:sz w:val="19"/>
                <w:szCs w:val="19"/>
              </w:rPr>
              <w:t xml:space="preserve">Básico (incl. 200h de arranque)</w:t>
            </w:r>
          </w:p>
        </w:tc>
        <w:tc>
          <w:tcPr>
            <w:tcW w:type="dxa" w:w="1800"/>
            <w:tcMar>
              <w:top w:type="dxa" w:w="80"/>
              <w:left w:type="dxa" w:w="100"/>
              <w:bottom w:type="dxa" w:w="80"/>
              <w:right w:type="dxa" w:w="100"/>
            </w:tcMar>
            <w:vAlign w:val="center"/>
          </w:tcPr>
          <w:p>
            <w:pPr>
              <w:spacing w:after="100"/>
              <w:jc w:val="center"/>
            </w:pPr>
            <w:r>
              <w:rPr>
                <w:sz w:val="19"/>
                <w:szCs w:val="19"/>
              </w:rPr>
              <w:t xml:space="preserve">47</w:t>
            </w:r>
          </w:p>
        </w:tc>
        <w:tc>
          <w:tcPr>
            <w:tcW w:type="dxa" w:w="1800"/>
            <w:tcMar>
              <w:top w:type="dxa" w:w="80"/>
              <w:left w:type="dxa" w:w="100"/>
              <w:bottom w:type="dxa" w:w="80"/>
              <w:right w:type="dxa" w:w="100"/>
            </w:tcMar>
            <w:vAlign w:val="center"/>
          </w:tcPr>
          <w:p>
            <w:pPr>
              <w:spacing w:after="100"/>
              <w:jc w:val="center"/>
            </w:pPr>
            <w:r>
              <w:rPr>
                <w:sz w:val="19"/>
                <w:szCs w:val="19"/>
              </w:rPr>
              <w:t xml:space="preserve">492 h</w:t>
            </w:r>
          </w:p>
        </w:tc>
        <w:tc>
          <w:tcPr>
            <w:tcW w:type="dxa" w:w="1800"/>
            <w:tcMar>
              <w:top w:type="dxa" w:w="80"/>
              <w:left w:type="dxa" w:w="100"/>
              <w:bottom w:type="dxa" w:w="80"/>
              <w:right w:type="dxa" w:w="100"/>
            </w:tcMar>
            <w:vAlign w:val="center"/>
          </w:tcPr>
          <w:p>
            <w:pPr>
              <w:spacing w:after="100"/>
              <w:jc w:val="center"/>
            </w:pPr>
            <w:r>
              <w:rPr>
                <w:sz w:val="19"/>
                <w:szCs w:val="19"/>
              </w:rPr>
              <w:t xml:space="preserve">1,003 h</w:t>
            </w:r>
          </w:p>
        </w:tc>
        <w:tc>
          <w:tcPr>
            <w:tcW w:type="dxa" w:w="2680"/>
            <w:tcMar>
              <w:top w:type="dxa" w:w="80"/>
              <w:left w:type="dxa" w:w="100"/>
              <w:bottom w:type="dxa" w:w="80"/>
              <w:right w:type="dxa" w:w="100"/>
            </w:tcMar>
            <w:vAlign w:val="center"/>
          </w:tcPr>
          <w:p>
            <w:pPr>
              <w:spacing w:after="100"/>
              <w:jc w:val="center"/>
            </w:pPr>
            <w:r>
              <w:rPr>
                <w:b/>
                <w:bCs/>
                <w:sz w:val="19"/>
                <w:szCs w:val="19"/>
              </w:rPr>
              <w:t xml:space="preserve">Q 150,510</w:t>
            </w:r>
          </w:p>
        </w:tc>
      </w:tr>
      <w:tr>
        <w:tc>
          <w:tcPr>
            <w:tcW w:type="dxa" w:w="2000"/>
            <w:tcMar>
              <w:top w:type="dxa" w:w="80"/>
              <w:left w:type="dxa" w:w="100"/>
              <w:bottom w:type="dxa" w:w="80"/>
              <w:right w:type="dxa" w:w="100"/>
            </w:tcMar>
            <w:vAlign w:val="center"/>
          </w:tcPr>
          <w:p>
            <w:pPr>
              <w:spacing w:after="100"/>
            </w:pPr>
            <w:r>
              <w:rPr>
                <w:b/>
                <w:bCs/>
                <w:sz w:val="19"/>
                <w:szCs w:val="19"/>
              </w:rPr>
              <w:t xml:space="preserve">Premium (incremental)</w:t>
            </w:r>
          </w:p>
        </w:tc>
        <w:tc>
          <w:tcPr>
            <w:tcW w:type="dxa" w:w="1800"/>
            <w:tcMar>
              <w:top w:type="dxa" w:w="80"/>
              <w:left w:type="dxa" w:w="100"/>
              <w:bottom w:type="dxa" w:w="80"/>
              <w:right w:type="dxa" w:w="100"/>
            </w:tcMar>
            <w:vAlign w:val="center"/>
          </w:tcPr>
          <w:p>
            <w:pPr>
              <w:spacing w:after="100"/>
              <w:jc w:val="center"/>
            </w:pPr>
            <w:r>
              <w:rPr>
                <w:sz w:val="19"/>
                <w:szCs w:val="19"/>
              </w:rPr>
              <w:t xml:space="preserve">35</w:t>
            </w:r>
          </w:p>
        </w:tc>
        <w:tc>
          <w:tcPr>
            <w:tcW w:type="dxa" w:w="1800"/>
            <w:tcMar>
              <w:top w:type="dxa" w:w="80"/>
              <w:left w:type="dxa" w:w="100"/>
              <w:bottom w:type="dxa" w:w="80"/>
              <w:right w:type="dxa" w:w="100"/>
            </w:tcMar>
            <w:vAlign w:val="center"/>
          </w:tcPr>
          <w:p>
            <w:pPr>
              <w:spacing w:after="100"/>
              <w:jc w:val="center"/>
            </w:pPr>
            <w:r>
              <w:rPr>
                <w:sz w:val="19"/>
                <w:szCs w:val="19"/>
              </w:rPr>
              <w:t xml:space="preserve">546 h</w:t>
            </w:r>
          </w:p>
        </w:tc>
        <w:tc>
          <w:tcPr>
            <w:tcW w:type="dxa" w:w="1800"/>
            <w:tcMar>
              <w:top w:type="dxa" w:w="80"/>
              <w:left w:type="dxa" w:w="100"/>
              <w:bottom w:type="dxa" w:w="80"/>
              <w:right w:type="dxa" w:w="100"/>
            </w:tcMar>
            <w:vAlign w:val="center"/>
          </w:tcPr>
          <w:p>
            <w:pPr>
              <w:spacing w:after="100"/>
              <w:jc w:val="center"/>
            </w:pPr>
            <w:r>
              <w:rPr>
                <w:sz w:val="19"/>
                <w:szCs w:val="19"/>
              </w:rPr>
              <w:t xml:space="preserve">792 h</w:t>
            </w:r>
          </w:p>
        </w:tc>
        <w:tc>
          <w:tcPr>
            <w:tcW w:type="dxa" w:w="2680"/>
            <w:tcMar>
              <w:top w:type="dxa" w:w="80"/>
              <w:left w:type="dxa" w:w="100"/>
              <w:bottom w:type="dxa" w:w="80"/>
              <w:right w:type="dxa" w:w="100"/>
            </w:tcMar>
            <w:vAlign w:val="center"/>
          </w:tcPr>
          <w:p>
            <w:pPr>
              <w:spacing w:after="100"/>
              <w:jc w:val="center"/>
            </w:pPr>
            <w:r>
              <w:rPr>
                <w:b/>
                <w:bCs/>
                <w:sz w:val="19"/>
                <w:szCs w:val="19"/>
              </w:rPr>
              <w:t xml:space="preserve">Q 118,755</w:t>
            </w:r>
          </w:p>
        </w:tc>
      </w:tr>
      <w:tr>
        <w:tc>
          <w:tcPr>
            <w:tcW w:type="dxa" w:w="2000"/>
            <w:tcMar>
              <w:top w:type="dxa" w:w="80"/>
              <w:left w:type="dxa" w:w="100"/>
              <w:bottom w:type="dxa" w:w="80"/>
              <w:right w:type="dxa" w:w="100"/>
            </w:tcMar>
            <w:vAlign w:val="center"/>
          </w:tcPr>
          <w:p>
            <w:pPr>
              <w:spacing w:after="100"/>
            </w:pPr>
            <w:r>
              <w:rPr>
                <w:b/>
                <w:bCs/>
                <w:sz w:val="19"/>
                <w:szCs w:val="19"/>
              </w:rPr>
              <w:t xml:space="preserve">Gold (incremental)</w:t>
            </w:r>
          </w:p>
        </w:tc>
        <w:tc>
          <w:tcPr>
            <w:tcW w:type="dxa" w:w="1800"/>
            <w:tcMar>
              <w:top w:type="dxa" w:w="80"/>
              <w:left w:type="dxa" w:w="100"/>
              <w:bottom w:type="dxa" w:w="80"/>
              <w:right w:type="dxa" w:w="100"/>
            </w:tcMar>
            <w:vAlign w:val="center"/>
          </w:tcPr>
          <w:p>
            <w:pPr>
              <w:spacing w:after="100"/>
              <w:jc w:val="center"/>
            </w:pPr>
            <w:r>
              <w:rPr>
                <w:sz w:val="19"/>
                <w:szCs w:val="19"/>
              </w:rPr>
              <w:t xml:space="preserve">19</w:t>
            </w:r>
          </w:p>
        </w:tc>
        <w:tc>
          <w:tcPr>
            <w:tcW w:type="dxa" w:w="1800"/>
            <w:tcMar>
              <w:top w:type="dxa" w:w="80"/>
              <w:left w:type="dxa" w:w="100"/>
              <w:bottom w:type="dxa" w:w="80"/>
              <w:right w:type="dxa" w:w="100"/>
            </w:tcMar>
            <w:vAlign w:val="center"/>
          </w:tcPr>
          <w:p>
            <w:pPr>
              <w:spacing w:after="100"/>
              <w:jc w:val="center"/>
            </w:pPr>
            <w:r>
              <w:rPr>
                <w:sz w:val="19"/>
                <w:szCs w:val="19"/>
              </w:rPr>
              <w:t xml:space="preserve">346 h</w:t>
            </w:r>
          </w:p>
        </w:tc>
        <w:tc>
          <w:tcPr>
            <w:tcW w:type="dxa" w:w="1800"/>
            <w:tcMar>
              <w:top w:type="dxa" w:w="80"/>
              <w:left w:type="dxa" w:w="100"/>
              <w:bottom w:type="dxa" w:w="80"/>
              <w:right w:type="dxa" w:w="100"/>
            </w:tcMar>
            <w:vAlign w:val="center"/>
          </w:tcPr>
          <w:p>
            <w:pPr>
              <w:spacing w:after="100"/>
              <w:jc w:val="center"/>
            </w:pPr>
            <w:r>
              <w:rPr>
                <w:sz w:val="19"/>
                <w:szCs w:val="19"/>
              </w:rPr>
              <w:t xml:space="preserve">502 h</w:t>
            </w:r>
          </w:p>
        </w:tc>
        <w:tc>
          <w:tcPr>
            <w:tcW w:type="dxa" w:w="2680"/>
            <w:tcMar>
              <w:top w:type="dxa" w:w="80"/>
              <w:left w:type="dxa" w:w="100"/>
              <w:bottom w:type="dxa" w:w="80"/>
              <w:right w:type="dxa" w:w="100"/>
            </w:tcMar>
            <w:vAlign w:val="center"/>
          </w:tcPr>
          <w:p>
            <w:pPr>
              <w:spacing w:after="100"/>
              <w:jc w:val="center"/>
            </w:pPr>
            <w:r>
              <w:rPr>
                <w:b/>
                <w:bCs/>
                <w:sz w:val="19"/>
                <w:szCs w:val="19"/>
              </w:rPr>
              <w:t xml:space="preserve">Q 75,255</w:t>
            </w:r>
          </w:p>
        </w:tc>
      </w:tr>
    </w:tbl>
    <w:p>
      <w:pPr>
        <w:pStyle w:val="Heading2"/>
        <w:spacing w:after="140" w:before="200"/>
      </w:pPr>
      <w:r>
        <w:t xml:space="preserve">Inversión acumulada por plan</w:t>
      </w:r>
    </w:p>
    <w:p>
      <w:pPr>
        <w:spacing w:after="100"/>
      </w:pPr>
      <w:r>
        <w:rPr>
          <w:i/>
          <w:iCs/>
          <w:sz w:val="19"/>
          <w:szCs w:val="19"/>
        </w:rPr>
        <w:t xml:space="preserve">Lo que cuesta construir el producto completo hasta ese plan (incluye todos los planes anteriores).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580"/>
      </w:tblGrid>
      <w:tr>
        <w:trPr>
          <w:tblHeader/>
        </w:trPr>
        <w:tc>
          <w:tcPr>
            <w:tcW w:type="dxa" w:w="3000"/>
            <w:shd w:fill="1F3864" w:val="clear"/>
            <w:tcMar>
              <w:top w:type="dxa" w:w="80"/>
              <w:left w:type="dxa" w:w="100"/>
              <w:bottom w:type="dxa" w:w="80"/>
              <w:right w:type="dxa" w:w="100"/>
            </w:tcMar>
            <w:vAlign w:val="center"/>
          </w:tcPr>
          <w:p>
            <w:pPr>
              <w:spacing w:after="100"/>
            </w:pPr>
            <w:r>
              <w:rPr>
                <w:b/>
                <w:bCs/>
                <w:color w:val="FFFFFF"/>
                <w:sz w:val="19"/>
                <w:szCs w:val="19"/>
              </w:rPr>
              <w:t xml:space="preserve">Plan (acumulado)</w:t>
            </w:r>
          </w:p>
        </w:tc>
        <w:tc>
          <w:tcPr>
            <w:tcW w:type="dxa" w:w="2500"/>
            <w:shd w:fill="1F3864" w:val="clear"/>
            <w:tcMar>
              <w:top w:type="dxa" w:w="80"/>
              <w:left w:type="dxa" w:w="100"/>
              <w:bottom w:type="dxa" w:w="80"/>
              <w:right w:type="dxa" w:w="100"/>
            </w:tcMar>
            <w:vAlign w:val="center"/>
          </w:tcPr>
          <w:p>
            <w:pPr>
              <w:spacing w:after="100"/>
            </w:pPr>
            <w:r>
              <w:rPr>
                <w:b/>
                <w:bCs/>
                <w:color w:val="FFFFFF"/>
                <w:sz w:val="19"/>
                <w:szCs w:val="19"/>
              </w:rPr>
              <w:t xml:space="preserve">Horas totales</w:t>
            </w:r>
          </w:p>
        </w:tc>
        <w:tc>
          <w:tcPr>
            <w:tcW w:type="dxa" w:w="4580"/>
            <w:shd w:fill="1F3864" w:val="clear"/>
            <w:tcMar>
              <w:top w:type="dxa" w:w="80"/>
              <w:left w:type="dxa" w:w="100"/>
              <w:bottom w:type="dxa" w:w="80"/>
              <w:right w:type="dxa" w:w="100"/>
            </w:tcMar>
            <w:vAlign w:val="center"/>
          </w:tcPr>
          <w:p>
            <w:pPr>
              <w:spacing w:after="100"/>
            </w:pPr>
            <w:r>
              <w:rPr>
                <w:b/>
                <w:bCs/>
                <w:color w:val="FFFFFF"/>
                <w:sz w:val="19"/>
                <w:szCs w:val="19"/>
              </w:rPr>
              <w:t xml:space="preserve">Inversión total</w:t>
            </w:r>
          </w:p>
        </w:tc>
      </w:tr>
      <w:tr>
        <w:tc>
          <w:tcPr>
            <w:tcW w:type="dxa" w:w="3000"/>
            <w:tcMar>
              <w:top w:type="dxa" w:w="80"/>
              <w:left w:type="dxa" w:w="100"/>
              <w:bottom w:type="dxa" w:w="80"/>
              <w:right w:type="dxa" w:w="100"/>
            </w:tcMar>
            <w:vAlign w:val="center"/>
          </w:tcPr>
          <w:p>
            <w:pPr>
              <w:spacing w:after="100"/>
            </w:pPr>
            <w:r>
              <w:rPr>
                <w:b/>
                <w:bCs/>
                <w:sz w:val="20"/>
                <w:szCs w:val="20"/>
              </w:rPr>
              <w:t xml:space="preserve">Básico</w:t>
            </w:r>
          </w:p>
        </w:tc>
        <w:tc>
          <w:tcPr>
            <w:tcW w:type="dxa" w:w="2500"/>
            <w:tcMar>
              <w:top w:type="dxa" w:w="80"/>
              <w:left w:type="dxa" w:w="100"/>
              <w:bottom w:type="dxa" w:w="80"/>
              <w:right w:type="dxa" w:w="100"/>
            </w:tcMar>
            <w:vAlign w:val="center"/>
          </w:tcPr>
          <w:p>
            <w:pPr>
              <w:spacing w:after="100"/>
              <w:jc w:val="center"/>
            </w:pPr>
            <w:r>
              <w:rPr>
                <w:sz w:val="20"/>
                <w:szCs w:val="20"/>
              </w:rPr>
              <w:t xml:space="preserve">1,003 h</w:t>
            </w:r>
          </w:p>
        </w:tc>
        <w:tc>
          <w:tcPr>
            <w:tcW w:type="dxa" w:w="4580"/>
            <w:tcMar>
              <w:top w:type="dxa" w:w="80"/>
              <w:left w:type="dxa" w:w="100"/>
              <w:bottom w:type="dxa" w:w="80"/>
              <w:right w:type="dxa" w:w="100"/>
            </w:tcMar>
            <w:vAlign w:val="center"/>
          </w:tcPr>
          <w:p>
            <w:pPr>
              <w:spacing w:after="100"/>
              <w:jc w:val="center"/>
            </w:pPr>
            <w:r>
              <w:rPr>
                <w:b/>
                <w:bCs/>
                <w:sz w:val="20"/>
                <w:szCs w:val="20"/>
              </w:rPr>
              <w:t xml:space="preserve">Q 150,510</w:t>
            </w:r>
          </w:p>
        </w:tc>
      </w:tr>
      <w:tr>
        <w:tc>
          <w:tcPr>
            <w:tcW w:type="dxa" w:w="3000"/>
            <w:tcMar>
              <w:top w:type="dxa" w:w="80"/>
              <w:left w:type="dxa" w:w="100"/>
              <w:bottom w:type="dxa" w:w="80"/>
              <w:right w:type="dxa" w:w="100"/>
            </w:tcMar>
            <w:vAlign w:val="center"/>
          </w:tcPr>
          <w:p>
            <w:pPr>
              <w:spacing w:after="100"/>
            </w:pPr>
            <w:r>
              <w:rPr>
                <w:b/>
                <w:bCs/>
                <w:sz w:val="20"/>
                <w:szCs w:val="20"/>
              </w:rPr>
              <w:t xml:space="preserve">Básico + Premium</w:t>
            </w:r>
          </w:p>
        </w:tc>
        <w:tc>
          <w:tcPr>
            <w:tcW w:type="dxa" w:w="2500"/>
            <w:tcMar>
              <w:top w:type="dxa" w:w="80"/>
              <w:left w:type="dxa" w:w="100"/>
              <w:bottom w:type="dxa" w:w="80"/>
              <w:right w:type="dxa" w:w="100"/>
            </w:tcMar>
            <w:vAlign w:val="center"/>
          </w:tcPr>
          <w:p>
            <w:pPr>
              <w:spacing w:after="100"/>
              <w:jc w:val="center"/>
            </w:pPr>
            <w:r>
              <w:rPr>
                <w:sz w:val="20"/>
                <w:szCs w:val="20"/>
              </w:rPr>
              <w:t xml:space="preserve">1,795 h</w:t>
            </w:r>
          </w:p>
        </w:tc>
        <w:tc>
          <w:tcPr>
            <w:tcW w:type="dxa" w:w="4580"/>
            <w:tcMar>
              <w:top w:type="dxa" w:w="80"/>
              <w:left w:type="dxa" w:w="100"/>
              <w:bottom w:type="dxa" w:w="80"/>
              <w:right w:type="dxa" w:w="100"/>
            </w:tcMar>
            <w:vAlign w:val="center"/>
          </w:tcPr>
          <w:p>
            <w:pPr>
              <w:spacing w:after="100"/>
              <w:jc w:val="center"/>
            </w:pPr>
            <w:r>
              <w:rPr>
                <w:b/>
                <w:bCs/>
                <w:sz w:val="20"/>
                <w:szCs w:val="20"/>
              </w:rPr>
              <w:t xml:space="preserve">Q 269,265</w:t>
            </w:r>
          </w:p>
        </w:tc>
      </w:tr>
      <w:tr>
        <w:tc>
          <w:tcPr>
            <w:tcW w:type="dxa" w:w="3000"/>
            <w:tcMar>
              <w:top w:type="dxa" w:w="80"/>
              <w:left w:type="dxa" w:w="100"/>
              <w:bottom w:type="dxa" w:w="80"/>
              <w:right w:type="dxa" w:w="100"/>
            </w:tcMar>
            <w:vAlign w:val="center"/>
          </w:tcPr>
          <w:p>
            <w:pPr>
              <w:spacing w:after="100"/>
            </w:pPr>
            <w:r>
              <w:rPr>
                <w:b/>
                <w:bCs/>
                <w:sz w:val="20"/>
                <w:szCs w:val="20"/>
              </w:rPr>
              <w:t xml:space="preserve">Básico + Premium + Gold</w:t>
            </w:r>
          </w:p>
        </w:tc>
        <w:tc>
          <w:tcPr>
            <w:tcW w:type="dxa" w:w="2500"/>
            <w:tcMar>
              <w:top w:type="dxa" w:w="80"/>
              <w:left w:type="dxa" w:w="100"/>
              <w:bottom w:type="dxa" w:w="80"/>
              <w:right w:type="dxa" w:w="100"/>
            </w:tcMar>
            <w:vAlign w:val="center"/>
          </w:tcPr>
          <w:p>
            <w:pPr>
              <w:spacing w:after="100"/>
              <w:jc w:val="center"/>
            </w:pPr>
            <w:r>
              <w:rPr>
                <w:sz w:val="20"/>
                <w:szCs w:val="20"/>
              </w:rPr>
              <w:t xml:space="preserve">2,297 h</w:t>
            </w:r>
          </w:p>
        </w:tc>
        <w:tc>
          <w:tcPr>
            <w:tcW w:type="dxa" w:w="4580"/>
            <w:tcMar>
              <w:top w:type="dxa" w:w="80"/>
              <w:left w:type="dxa" w:w="100"/>
              <w:bottom w:type="dxa" w:w="80"/>
              <w:right w:type="dxa" w:w="100"/>
            </w:tcMar>
            <w:vAlign w:val="center"/>
          </w:tcPr>
          <w:p>
            <w:pPr>
              <w:spacing w:after="100"/>
              <w:jc w:val="center"/>
            </w:pPr>
            <w:r>
              <w:rPr>
                <w:b/>
                <w:bCs/>
                <w:sz w:val="20"/>
                <w:szCs w:val="20"/>
              </w:rPr>
              <w:t xml:space="preserve">Q 344,520</w:t>
            </w:r>
          </w:p>
        </w:tc>
      </w:tr>
    </w:tbl>
    <w:p>
      <w:pPr>
        <w:spacing w:after="60"/>
        <w:jc w:val="center"/>
      </w:pPr>
      <w:r>
        <w:drawing>
          <wp:inline distT="0" distB="0" distL="0" distR="0">
            <wp:extent cx="64008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3267075"/>
                    </a:xfrm>
                    <a:prstGeom prst="rect">
                      <a:avLst/>
                    </a:prstGeom>
                  </pic:spPr>
                </pic:pic>
              </a:graphicData>
            </a:graphic>
          </wp:inline>
        </w:drawing>
      </w:r>
    </w:p>
    <w:p>
      <w:pPr>
        <w:spacing w:after="200"/>
        <w:jc w:val="center"/>
      </w:pPr>
      <w:r>
        <w:rPr>
          <w:i/>
          <w:iCs/>
          <w:color w:val="666666"/>
          <w:sz w:val="17"/>
          <w:szCs w:val="17"/>
        </w:rPr>
        <w:t xml:space="preserve">Inversión acumulada de desarrollo por plan</w:t>
      </w:r>
    </w:p>
    <w:p>
      <w:pPr>
        <w:pStyle w:val="Heading1"/>
        <w:spacing w:after="140" w:before="260"/>
      </w:pPr>
      <w:r>
        <w:t xml:space="preserve">5. CRONOGRAMA ESTIMADO DE DESARROLLO</w:t>
      </w:r>
    </w:p>
    <w:p>
      <w:pPr>
        <w:spacing w:after="100"/>
      </w:pPr>
      <w:r>
        <w:rPr>
          <w:i/>
          <w:iCs/>
          <w:sz w:val="19"/>
          <w:szCs w:val="19"/>
        </w:rPr>
        <w:t xml:space="preserve">Duración calendario estimada, asumiendo semanas de 40 horas por desarrollador.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3580"/>
      </w:tblGrid>
      <w:tr>
        <w:trPr>
          <w:tblHeader/>
        </w:trPr>
        <w:tc>
          <w:tcPr>
            <w:tcW w:type="dxa" w:w="2500"/>
            <w:shd w:fill="1F3864" w:val="clear"/>
            <w:tcMar>
              <w:top w:type="dxa" w:w="80"/>
              <w:left w:type="dxa" w:w="100"/>
              <w:bottom w:type="dxa" w:w="80"/>
              <w:right w:type="dxa" w:w="100"/>
            </w:tcMar>
            <w:vAlign w:val="center"/>
          </w:tcPr>
          <w:p>
            <w:pPr>
              <w:spacing w:after="100"/>
            </w:pPr>
            <w:r>
              <w:rPr>
                <w:b/>
                <w:bCs/>
                <w:color w:val="FFFFFF"/>
                <w:sz w:val="19"/>
                <w:szCs w:val="19"/>
              </w:rPr>
              <w:t xml:space="preserve">Plan</w:t>
            </w:r>
          </w:p>
        </w:tc>
        <w:tc>
          <w:tcPr>
            <w:tcW w:type="dxa" w:w="2000"/>
            <w:shd w:fill="1F3864" w:val="clear"/>
            <w:tcMar>
              <w:top w:type="dxa" w:w="80"/>
              <w:left w:type="dxa" w:w="100"/>
              <w:bottom w:type="dxa" w:w="80"/>
              <w:right w:type="dxa" w:w="100"/>
            </w:tcMar>
            <w:vAlign w:val="center"/>
          </w:tcPr>
          <w:p>
            <w:pPr>
              <w:spacing w:after="100"/>
            </w:pPr>
            <w:r>
              <w:rPr>
                <w:b/>
                <w:bCs/>
                <w:color w:val="FFFFFF"/>
                <w:sz w:val="19"/>
                <w:szCs w:val="19"/>
              </w:rPr>
              <w:t xml:space="preserve">1 desarrollador</w:t>
            </w:r>
          </w:p>
        </w:tc>
        <w:tc>
          <w:tcPr>
            <w:tcW w:type="dxa" w:w="2000"/>
            <w:shd w:fill="1F3864" w:val="clear"/>
            <w:tcMar>
              <w:top w:type="dxa" w:w="80"/>
              <w:left w:type="dxa" w:w="100"/>
              <w:bottom w:type="dxa" w:w="80"/>
              <w:right w:type="dxa" w:w="100"/>
            </w:tcMar>
            <w:vAlign w:val="center"/>
          </w:tcPr>
          <w:p>
            <w:pPr>
              <w:spacing w:after="100"/>
            </w:pPr>
            <w:r>
              <w:rPr>
                <w:b/>
                <w:bCs/>
                <w:color w:val="FFFFFF"/>
                <w:sz w:val="19"/>
                <w:szCs w:val="19"/>
              </w:rPr>
              <w:t xml:space="preserve">2 desarrolladores</w:t>
            </w:r>
          </w:p>
        </w:tc>
        <w:tc>
          <w:tcPr>
            <w:tcW w:type="dxa" w:w="3580"/>
            <w:shd w:fill="1F3864" w:val="clear"/>
            <w:tcMar>
              <w:top w:type="dxa" w:w="80"/>
              <w:left w:type="dxa" w:w="100"/>
              <w:bottom w:type="dxa" w:w="80"/>
              <w:right w:type="dxa" w:w="100"/>
            </w:tcMar>
            <w:vAlign w:val="center"/>
          </w:tcPr>
          <w:p>
            <w:pPr>
              <w:spacing w:after="100"/>
            </w:pPr>
            <w:r>
              <w:rPr>
                <w:b/>
                <w:bCs/>
                <w:color w:val="FFFFFF"/>
                <w:sz w:val="19"/>
                <w:szCs w:val="19"/>
              </w:rPr>
              <w:t xml:space="preserve">Observación</w:t>
            </w:r>
          </w:p>
        </w:tc>
      </w:tr>
      <w:tr>
        <w:tc>
          <w:tcPr>
            <w:tcW w:type="dxa" w:w="2500"/>
            <w:tcMar>
              <w:top w:type="dxa" w:w="80"/>
              <w:left w:type="dxa" w:w="100"/>
              <w:bottom w:type="dxa" w:w="80"/>
              <w:right w:type="dxa" w:w="100"/>
            </w:tcMar>
            <w:vAlign w:val="center"/>
          </w:tcPr>
          <w:p>
            <w:pPr>
              <w:spacing w:after="100"/>
            </w:pPr>
            <w:r>
              <w:rPr>
                <w:b/>
                <w:bCs/>
                <w:sz w:val="19"/>
                <w:szCs w:val="19"/>
              </w:rPr>
              <w:t xml:space="preserve">Básico</w:t>
            </w:r>
          </w:p>
        </w:tc>
        <w:tc>
          <w:tcPr>
            <w:tcW w:type="dxa" w:w="2000"/>
            <w:tcMar>
              <w:top w:type="dxa" w:w="80"/>
              <w:left w:type="dxa" w:w="100"/>
              <w:bottom w:type="dxa" w:w="80"/>
              <w:right w:type="dxa" w:w="100"/>
            </w:tcMar>
            <w:vAlign w:val="center"/>
          </w:tcPr>
          <w:p>
            <w:pPr>
              <w:spacing w:after="100"/>
              <w:jc w:val="center"/>
            </w:pPr>
            <w:r>
              <w:rPr>
                <w:sz w:val="18"/>
                <w:szCs w:val="18"/>
              </w:rPr>
              <w:t xml:space="preserve">25.1 sem (~5.8 meses)</w:t>
            </w:r>
          </w:p>
        </w:tc>
        <w:tc>
          <w:tcPr>
            <w:tcW w:type="dxa" w:w="2000"/>
            <w:tcMar>
              <w:top w:type="dxa" w:w="80"/>
              <w:left w:type="dxa" w:w="100"/>
              <w:bottom w:type="dxa" w:w="80"/>
              <w:right w:type="dxa" w:w="100"/>
            </w:tcMar>
            <w:vAlign w:val="center"/>
          </w:tcPr>
          <w:p>
            <w:pPr>
              <w:spacing w:after="100"/>
              <w:jc w:val="center"/>
            </w:pPr>
            <w:r>
              <w:rPr>
                <w:sz w:val="18"/>
                <w:szCs w:val="18"/>
              </w:rPr>
              <w:t xml:space="preserve">12.5 sem (~2.9 meses)</w:t>
            </w:r>
          </w:p>
        </w:tc>
        <w:tc>
          <w:tcPr>
            <w:tcW w:type="dxa" w:w="3580"/>
            <w:tcMar>
              <w:top w:type="dxa" w:w="80"/>
              <w:left w:type="dxa" w:w="100"/>
              <w:bottom w:type="dxa" w:w="80"/>
              <w:right w:type="dxa" w:w="100"/>
            </w:tcMar>
            <w:vAlign w:val="center"/>
          </w:tcPr>
          <w:p>
            <w:pPr>
              <w:spacing w:after="100"/>
            </w:pPr>
            <w:r>
              <w:rPr>
                <w:sz w:val="17"/>
                <w:szCs w:val="17"/>
              </w:rPr>
              <w:t xml:space="preserve">Incluye arranque de infraestructura</w:t>
            </w:r>
          </w:p>
        </w:tc>
      </w:tr>
      <w:tr>
        <w:tc>
          <w:tcPr>
            <w:tcW w:type="dxa" w:w="2500"/>
            <w:tcMar>
              <w:top w:type="dxa" w:w="80"/>
              <w:left w:type="dxa" w:w="100"/>
              <w:bottom w:type="dxa" w:w="80"/>
              <w:right w:type="dxa" w:w="100"/>
            </w:tcMar>
            <w:vAlign w:val="center"/>
          </w:tcPr>
          <w:p>
            <w:pPr>
              <w:spacing w:after="100"/>
            </w:pPr>
            <w:r>
              <w:rPr>
                <w:b/>
                <w:bCs/>
                <w:sz w:val="19"/>
                <w:szCs w:val="19"/>
              </w:rPr>
              <w:t xml:space="preserve">Premium (incremental)</w:t>
            </w:r>
          </w:p>
        </w:tc>
        <w:tc>
          <w:tcPr>
            <w:tcW w:type="dxa" w:w="2000"/>
            <w:tcMar>
              <w:top w:type="dxa" w:w="80"/>
              <w:left w:type="dxa" w:w="100"/>
              <w:bottom w:type="dxa" w:w="80"/>
              <w:right w:type="dxa" w:w="100"/>
            </w:tcMar>
            <w:vAlign w:val="center"/>
          </w:tcPr>
          <w:p>
            <w:pPr>
              <w:spacing w:after="100"/>
              <w:jc w:val="center"/>
            </w:pPr>
            <w:r>
              <w:rPr>
                <w:sz w:val="18"/>
                <w:szCs w:val="18"/>
              </w:rPr>
              <w:t xml:space="preserve">19.8 sem (~4.6 meses)</w:t>
            </w:r>
          </w:p>
        </w:tc>
        <w:tc>
          <w:tcPr>
            <w:tcW w:type="dxa" w:w="2000"/>
            <w:tcMar>
              <w:top w:type="dxa" w:w="80"/>
              <w:left w:type="dxa" w:w="100"/>
              <w:bottom w:type="dxa" w:w="80"/>
              <w:right w:type="dxa" w:w="100"/>
            </w:tcMar>
            <w:vAlign w:val="center"/>
          </w:tcPr>
          <w:p>
            <w:pPr>
              <w:spacing w:after="100"/>
              <w:jc w:val="center"/>
            </w:pPr>
            <w:r>
              <w:rPr>
                <w:sz w:val="18"/>
                <w:szCs w:val="18"/>
              </w:rPr>
              <w:t xml:space="preserve">9.9 sem (~2.3 meses)</w:t>
            </w:r>
          </w:p>
        </w:tc>
        <w:tc>
          <w:tcPr>
            <w:tcW w:type="dxa" w:w="3580"/>
            <w:tcMar>
              <w:top w:type="dxa" w:w="80"/>
              <w:left w:type="dxa" w:w="100"/>
              <w:bottom w:type="dxa" w:w="80"/>
              <w:right w:type="dxa" w:w="100"/>
            </w:tcMar>
            <w:vAlign w:val="center"/>
          </w:tcPr>
          <w:p>
            <w:pPr>
              <w:spacing w:after="100"/>
            </w:pPr>
            <w:r>
              <w:rPr>
                <w:sz w:val="17"/>
                <w:szCs w:val="17"/>
              </w:rPr>
              <w:t xml:space="preserve">A partir de tener Básico terminado</w:t>
            </w:r>
          </w:p>
        </w:tc>
      </w:tr>
      <w:tr>
        <w:tc>
          <w:tcPr>
            <w:tcW w:type="dxa" w:w="2500"/>
            <w:tcMar>
              <w:top w:type="dxa" w:w="80"/>
              <w:left w:type="dxa" w:w="100"/>
              <w:bottom w:type="dxa" w:w="80"/>
              <w:right w:type="dxa" w:w="100"/>
            </w:tcMar>
            <w:vAlign w:val="center"/>
          </w:tcPr>
          <w:p>
            <w:pPr>
              <w:spacing w:after="100"/>
            </w:pPr>
            <w:r>
              <w:rPr>
                <w:b/>
                <w:bCs/>
                <w:sz w:val="19"/>
                <w:szCs w:val="19"/>
              </w:rPr>
              <w:t xml:space="preserve">Gold (incremental)</w:t>
            </w:r>
          </w:p>
        </w:tc>
        <w:tc>
          <w:tcPr>
            <w:tcW w:type="dxa" w:w="2000"/>
            <w:tcMar>
              <w:top w:type="dxa" w:w="80"/>
              <w:left w:type="dxa" w:w="100"/>
              <w:bottom w:type="dxa" w:w="80"/>
              <w:right w:type="dxa" w:w="100"/>
            </w:tcMar>
            <w:vAlign w:val="center"/>
          </w:tcPr>
          <w:p>
            <w:pPr>
              <w:spacing w:after="100"/>
              <w:jc w:val="center"/>
            </w:pPr>
            <w:r>
              <w:rPr>
                <w:sz w:val="18"/>
                <w:szCs w:val="18"/>
              </w:rPr>
              <w:t xml:space="preserve">12.5 sem (~2.9 meses)</w:t>
            </w:r>
          </w:p>
        </w:tc>
        <w:tc>
          <w:tcPr>
            <w:tcW w:type="dxa" w:w="2000"/>
            <w:tcMar>
              <w:top w:type="dxa" w:w="80"/>
              <w:left w:type="dxa" w:w="100"/>
              <w:bottom w:type="dxa" w:w="80"/>
              <w:right w:type="dxa" w:w="100"/>
            </w:tcMar>
            <w:vAlign w:val="center"/>
          </w:tcPr>
          <w:p>
            <w:pPr>
              <w:spacing w:after="100"/>
              <w:jc w:val="center"/>
            </w:pPr>
            <w:r>
              <w:rPr>
                <w:sz w:val="18"/>
                <w:szCs w:val="18"/>
              </w:rPr>
              <w:t xml:space="preserve">6.3 sem (~1.4 meses)</w:t>
            </w:r>
          </w:p>
        </w:tc>
        <w:tc>
          <w:tcPr>
            <w:tcW w:type="dxa" w:w="3580"/>
            <w:tcMar>
              <w:top w:type="dxa" w:w="80"/>
              <w:left w:type="dxa" w:w="100"/>
              <w:bottom w:type="dxa" w:w="80"/>
              <w:right w:type="dxa" w:w="100"/>
            </w:tcMar>
            <w:vAlign w:val="center"/>
          </w:tcPr>
          <w:p>
            <w:pPr>
              <w:spacing w:after="100"/>
            </w:pPr>
            <w:r>
              <w:rPr>
                <w:sz w:val="17"/>
                <w:szCs w:val="17"/>
              </w:rPr>
              <w:t xml:space="preserve">A partir de tener Premium terminado</w:t>
            </w:r>
          </w:p>
        </w:tc>
      </w:tr>
      <w:tr>
        <w:tc>
          <w:tcPr>
            <w:tcW w:type="dxa" w:w="2500"/>
            <w:shd w:fill="DCE6F1" w:val="clear"/>
            <w:tcMar>
              <w:top w:type="dxa" w:w="80"/>
              <w:left w:type="dxa" w:w="100"/>
              <w:bottom w:type="dxa" w:w="80"/>
              <w:right w:type="dxa" w:w="100"/>
            </w:tcMar>
            <w:vAlign w:val="center"/>
          </w:tcPr>
          <w:p>
            <w:pPr>
              <w:spacing w:after="100"/>
            </w:pPr>
            <w:r>
              <w:rPr>
                <w:b/>
                <w:bCs/>
                <w:sz w:val="19"/>
                <w:szCs w:val="19"/>
              </w:rPr>
              <w:t xml:space="preserve">TOTAL (Básico → Gold)</w:t>
            </w:r>
          </w:p>
        </w:tc>
        <w:tc>
          <w:tcPr>
            <w:tcW w:type="dxa" w:w="2000"/>
            <w:shd w:fill="DCE6F1" w:val="clear"/>
            <w:tcMar>
              <w:top w:type="dxa" w:w="80"/>
              <w:left w:type="dxa" w:w="100"/>
              <w:bottom w:type="dxa" w:w="80"/>
              <w:right w:type="dxa" w:w="100"/>
            </w:tcMar>
            <w:vAlign w:val="center"/>
          </w:tcPr>
          <w:p>
            <w:pPr>
              <w:spacing w:after="100"/>
              <w:jc w:val="center"/>
            </w:pPr>
            <w:r>
              <w:rPr>
                <w:b/>
                <w:bCs/>
                <w:sz w:val="18"/>
                <w:szCs w:val="18"/>
              </w:rPr>
              <w:t xml:space="preserve">57.4 sem (~13.3 meses)</w:t>
            </w:r>
          </w:p>
        </w:tc>
        <w:tc>
          <w:tcPr>
            <w:tcW w:type="dxa" w:w="2000"/>
            <w:shd w:fill="DCE6F1" w:val="clear"/>
            <w:tcMar>
              <w:top w:type="dxa" w:w="80"/>
              <w:left w:type="dxa" w:w="100"/>
              <w:bottom w:type="dxa" w:w="80"/>
              <w:right w:type="dxa" w:w="100"/>
            </w:tcMar>
            <w:vAlign w:val="center"/>
          </w:tcPr>
          <w:p>
            <w:pPr>
              <w:spacing w:after="100"/>
              <w:jc w:val="center"/>
            </w:pPr>
            <w:r>
              <w:rPr>
                <w:b/>
                <w:bCs/>
                <w:sz w:val="18"/>
                <w:szCs w:val="18"/>
              </w:rPr>
              <w:t xml:space="preserve">28.7 sem (~6.6 meses)</w:t>
            </w:r>
          </w:p>
        </w:tc>
        <w:tc>
          <w:tcPr>
            <w:tcW w:type="dxa" w:w="3580"/>
            <w:shd w:fill="DCE6F1" w:val="clear"/>
            <w:tcMar>
              <w:top w:type="dxa" w:w="80"/>
              <w:left w:type="dxa" w:w="100"/>
              <w:bottom w:type="dxa" w:w="80"/>
              <w:right w:type="dxa" w:w="100"/>
            </w:tcMar>
            <w:vAlign w:val="center"/>
          </w:tcPr>
          <w:p>
            <w:pPr>
              <w:spacing w:after="100"/>
            </w:pPr>
            <w:r>
              <w:rPr>
                <w:sz w:val="17"/>
                <w:szCs w:val="17"/>
              </w:rPr>
              <w:t xml:space="preserve">Producto completo</w:t>
            </w:r>
          </w:p>
        </w:tc>
      </w:tr>
    </w:tbl>
    <w:p>
      <w:pPr>
        <w:spacing w:before="160"/>
      </w:pPr>
      <w:r>
        <w:rPr>
          <w:sz w:val="20"/>
          <w:szCs w:val="20"/>
        </w:rPr>
        <w:t xml:space="preserve">Recomendación: lanzar el Plan Básico al mercado ni bien esté terminado (aprox. 3 meses con 2 desarrolladores) para empezar a generar ingresos y validar el producto, mientras Premium y Gold se desarrollan con esos primeros ingresos como parte del financiamiento.</w:t>
      </w:r>
    </w:p>
    <w:p>
      <w:pPr>
        <w:pStyle w:val="Heading1"/>
        <w:spacing w:after="140" w:before="260"/>
      </w:pPr>
      <w:r>
        <w:t xml:space="preserve">6. PRECIO DE VENTA SUGERIDO</w:t>
      </w:r>
    </w:p>
    <w:p>
      <w:pPr>
        <w:spacing w:after="100"/>
      </w:pPr>
      <w:r>
        <w:rPr>
          <w:sz w:val="20"/>
          <w:szCs w:val="20"/>
        </w:rPr>
        <w:t xml:space="preserve">Fórmula aplicada: Precio mensual = (Inversión acumulada del plan ÷ Clientes objetivo ÷ Meses de recuperación) x (1 + Margen operativo). Los resultados crudos se redondearon a precios comerciales (terminación en 99) manteniendo un colchón de seguridad sobre el plazo de recuperación objetivo.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gridCol w:w="1280"/>
      </w:tblGrid>
      <w:tr>
        <w:trPr>
          <w:tblHeader/>
        </w:trPr>
        <w:tc>
          <w:tcPr>
            <w:tcW w:type="dxa" w:w="2200"/>
            <w:shd w:fill="1F3864" w:val="clear"/>
            <w:tcMar>
              <w:top w:type="dxa" w:w="80"/>
              <w:left w:type="dxa" w:w="100"/>
              <w:bottom w:type="dxa" w:w="80"/>
              <w:right w:type="dxa" w:w="100"/>
            </w:tcMar>
            <w:vAlign w:val="center"/>
          </w:tcPr>
          <w:p>
            <w:pPr>
              <w:spacing w:after="100"/>
            </w:pPr>
            <w:r>
              <w:rPr>
                <w:b/>
                <w:bCs/>
                <w:color w:val="FFFFFF"/>
                <w:sz w:val="19"/>
                <w:szCs w:val="19"/>
              </w:rPr>
              <w:t xml:space="preserve">Plan</w:t>
            </w:r>
          </w:p>
        </w:tc>
        <w:tc>
          <w:tcPr>
            <w:tcW w:type="dxa" w:w="2200"/>
            <w:shd w:fill="1F3864" w:val="clear"/>
            <w:tcMar>
              <w:top w:type="dxa" w:w="80"/>
              <w:left w:type="dxa" w:w="100"/>
              <w:bottom w:type="dxa" w:w="80"/>
              <w:right w:type="dxa" w:w="100"/>
            </w:tcMar>
            <w:vAlign w:val="center"/>
          </w:tcPr>
          <w:p>
            <w:pPr>
              <w:spacing w:after="100"/>
            </w:pPr>
            <w:r>
              <w:rPr>
                <w:b/>
                <w:bCs/>
                <w:color w:val="FFFFFF"/>
                <w:sz w:val="19"/>
                <w:szCs w:val="19"/>
              </w:rPr>
              <w:t xml:space="preserve">Precio crudo calculado</w:t>
            </w:r>
          </w:p>
        </w:tc>
        <w:tc>
          <w:tcPr>
            <w:tcW w:type="dxa" w:w="2200"/>
            <w:shd w:fill="1F3864" w:val="clear"/>
            <w:tcMar>
              <w:top w:type="dxa" w:w="80"/>
              <w:left w:type="dxa" w:w="100"/>
              <w:bottom w:type="dxa" w:w="80"/>
              <w:right w:type="dxa" w:w="100"/>
            </w:tcMar>
            <w:vAlign w:val="center"/>
          </w:tcPr>
          <w:p>
            <w:pPr>
              <w:spacing w:after="100"/>
            </w:pPr>
            <w:r>
              <w:rPr>
                <w:b/>
                <w:bCs/>
                <w:color w:val="FFFFFF"/>
                <w:sz w:val="19"/>
                <w:szCs w:val="19"/>
              </w:rPr>
              <w:t xml:space="preserve">Precio sugerido</w:t>
            </w:r>
          </w:p>
        </w:tc>
        <w:tc>
          <w:tcPr>
            <w:tcW w:type="dxa" w:w="2200"/>
            <w:shd w:fill="1F3864" w:val="clear"/>
            <w:tcMar>
              <w:top w:type="dxa" w:w="80"/>
              <w:left w:type="dxa" w:w="100"/>
              <w:bottom w:type="dxa" w:w="80"/>
              <w:right w:type="dxa" w:w="100"/>
            </w:tcMar>
            <w:vAlign w:val="center"/>
          </w:tcPr>
          <w:p>
            <w:pPr>
              <w:spacing w:after="100"/>
            </w:pPr>
            <w:r>
              <w:rPr>
                <w:b/>
                <w:bCs/>
                <w:color w:val="FFFFFF"/>
                <w:sz w:val="19"/>
                <w:szCs w:val="19"/>
              </w:rPr>
              <w:t xml:space="preserve">Implementación inicial (única vez)</w:t>
            </w:r>
          </w:p>
        </w:tc>
        <w:tc>
          <w:tcPr>
            <w:tcW w:type="dxa" w:w="1280"/>
            <w:shd w:fill="1F3864" w:val="clear"/>
            <w:tcMar>
              <w:top w:type="dxa" w:w="80"/>
              <w:left w:type="dxa" w:w="100"/>
              <w:bottom w:type="dxa" w:w="80"/>
              <w:right w:type="dxa" w:w="100"/>
            </w:tcMar>
            <w:vAlign w:val="center"/>
          </w:tcPr>
          <w:p>
            <w:pPr>
              <w:spacing w:after="100"/>
            </w:pPr>
            <w:r>
              <w:rPr>
                <w:b/>
                <w:bCs/>
                <w:color w:val="FFFFFF"/>
                <w:sz w:val="19"/>
                <w:szCs w:val="19"/>
              </w:rPr>
              <w:t xml:space="preserve">Recuperación real estimada*</w:t>
            </w:r>
          </w:p>
        </w:tc>
      </w:tr>
      <w:tr>
        <w:tc>
          <w:tcPr>
            <w:tcW w:type="dxa" w:w="2200"/>
            <w:tcMar>
              <w:top w:type="dxa" w:w="80"/>
              <w:left w:type="dxa" w:w="100"/>
              <w:bottom w:type="dxa" w:w="80"/>
              <w:right w:type="dxa" w:w="100"/>
            </w:tcMar>
            <w:vAlign w:val="center"/>
          </w:tcPr>
          <w:p>
            <w:pPr>
              <w:spacing w:after="100"/>
            </w:pPr>
            <w:r>
              <w:rPr>
                <w:b/>
                <w:bCs/>
                <w:sz w:val="19"/>
                <w:szCs w:val="19"/>
              </w:rPr>
              <w:t xml:space="preserve">Básico</w:t>
            </w:r>
          </w:p>
        </w:tc>
        <w:tc>
          <w:tcPr>
            <w:tcW w:type="dxa" w:w="2200"/>
            <w:tcMar>
              <w:top w:type="dxa" w:w="80"/>
              <w:left w:type="dxa" w:w="100"/>
              <w:bottom w:type="dxa" w:w="80"/>
              <w:right w:type="dxa" w:w="100"/>
            </w:tcMar>
            <w:vAlign w:val="center"/>
          </w:tcPr>
          <w:p>
            <w:pPr>
              <w:spacing w:after="100"/>
              <w:jc w:val="center"/>
            </w:pPr>
            <w:r>
              <w:rPr>
                <w:sz w:val="19"/>
                <w:szCs w:val="19"/>
              </w:rPr>
              <w:t xml:space="preserve">Q 544/mes</w:t>
            </w:r>
          </w:p>
        </w:tc>
        <w:tc>
          <w:tcPr>
            <w:tcW w:type="dxa" w:w="2200"/>
            <w:tcMar>
              <w:top w:type="dxa" w:w="80"/>
              <w:left w:type="dxa" w:w="100"/>
              <w:bottom w:type="dxa" w:w="80"/>
              <w:right w:type="dxa" w:w="100"/>
            </w:tcMar>
            <w:vAlign w:val="center"/>
          </w:tcPr>
          <w:p>
            <w:pPr>
              <w:spacing w:after="100"/>
              <w:jc w:val="center"/>
            </w:pPr>
            <w:r>
              <w:rPr>
                <w:b/>
                <w:bCs/>
                <w:color w:val="1F3864"/>
                <w:sz w:val="19"/>
                <w:szCs w:val="19"/>
              </w:rPr>
              <w:t xml:space="preserve">Q 599/mes</w:t>
            </w:r>
          </w:p>
        </w:tc>
        <w:tc>
          <w:tcPr>
            <w:tcW w:type="dxa" w:w="2200"/>
            <w:tcMar>
              <w:top w:type="dxa" w:w="80"/>
              <w:left w:type="dxa" w:w="100"/>
              <w:bottom w:type="dxa" w:w="80"/>
              <w:right w:type="dxa" w:w="100"/>
            </w:tcMar>
            <w:vAlign w:val="center"/>
          </w:tcPr>
          <w:p>
            <w:pPr>
              <w:spacing w:after="100"/>
              <w:jc w:val="center"/>
            </w:pPr>
            <w:r>
              <w:rPr>
                <w:sz w:val="19"/>
                <w:szCs w:val="19"/>
              </w:rPr>
              <w:t xml:space="preserve">Q 1,500</w:t>
            </w:r>
          </w:p>
        </w:tc>
        <w:tc>
          <w:tcPr>
            <w:tcW w:type="dxa" w:w="1280"/>
            <w:tcMar>
              <w:top w:type="dxa" w:w="80"/>
              <w:left w:type="dxa" w:w="100"/>
              <w:bottom w:type="dxa" w:w="80"/>
              <w:right w:type="dxa" w:w="100"/>
            </w:tcMar>
            <w:vAlign w:val="center"/>
          </w:tcPr>
          <w:p>
            <w:pPr>
              <w:spacing w:after="100"/>
              <w:jc w:val="center"/>
            </w:pPr>
            <w:r>
              <w:rPr>
                <w:sz w:val="19"/>
                <w:szCs w:val="19"/>
              </w:rPr>
              <w:t xml:space="preserve">12.6 meses</w:t>
            </w:r>
          </w:p>
        </w:tc>
      </w:tr>
      <w:tr>
        <w:tc>
          <w:tcPr>
            <w:tcW w:type="dxa" w:w="2200"/>
            <w:tcMar>
              <w:top w:type="dxa" w:w="80"/>
              <w:left w:type="dxa" w:w="100"/>
              <w:bottom w:type="dxa" w:w="80"/>
              <w:right w:type="dxa" w:w="100"/>
            </w:tcMar>
            <w:vAlign w:val="center"/>
          </w:tcPr>
          <w:p>
            <w:pPr>
              <w:spacing w:after="100"/>
            </w:pPr>
            <w:r>
              <w:rPr>
                <w:b/>
                <w:bCs/>
                <w:sz w:val="19"/>
                <w:szCs w:val="19"/>
              </w:rPr>
              <w:t xml:space="preserve">Premium</w:t>
            </w:r>
          </w:p>
        </w:tc>
        <w:tc>
          <w:tcPr>
            <w:tcW w:type="dxa" w:w="2200"/>
            <w:tcMar>
              <w:top w:type="dxa" w:w="80"/>
              <w:left w:type="dxa" w:w="100"/>
              <w:bottom w:type="dxa" w:w="80"/>
              <w:right w:type="dxa" w:w="100"/>
            </w:tcMar>
            <w:vAlign w:val="center"/>
          </w:tcPr>
          <w:p>
            <w:pPr>
              <w:spacing w:after="100"/>
              <w:jc w:val="center"/>
            </w:pPr>
            <w:r>
              <w:rPr>
                <w:sz w:val="19"/>
                <w:szCs w:val="19"/>
              </w:rPr>
              <w:t xml:space="preserve">Q 972/mes</w:t>
            </w:r>
          </w:p>
        </w:tc>
        <w:tc>
          <w:tcPr>
            <w:tcW w:type="dxa" w:w="2200"/>
            <w:tcMar>
              <w:top w:type="dxa" w:w="80"/>
              <w:left w:type="dxa" w:w="100"/>
              <w:bottom w:type="dxa" w:w="80"/>
              <w:right w:type="dxa" w:w="100"/>
            </w:tcMar>
            <w:vAlign w:val="center"/>
          </w:tcPr>
          <w:p>
            <w:pPr>
              <w:spacing w:after="100"/>
              <w:jc w:val="center"/>
            </w:pPr>
            <w:r>
              <w:rPr>
                <w:b/>
                <w:bCs/>
                <w:color w:val="1F3864"/>
                <w:sz w:val="19"/>
                <w:szCs w:val="19"/>
              </w:rPr>
              <w:t xml:space="preserve">Q 999/mes</w:t>
            </w:r>
          </w:p>
        </w:tc>
        <w:tc>
          <w:tcPr>
            <w:tcW w:type="dxa" w:w="2200"/>
            <w:tcMar>
              <w:top w:type="dxa" w:w="80"/>
              <w:left w:type="dxa" w:w="100"/>
              <w:bottom w:type="dxa" w:w="80"/>
              <w:right w:type="dxa" w:w="100"/>
            </w:tcMar>
            <w:vAlign w:val="center"/>
          </w:tcPr>
          <w:p>
            <w:pPr>
              <w:spacing w:after="100"/>
              <w:jc w:val="center"/>
            </w:pPr>
            <w:r>
              <w:rPr>
                <w:sz w:val="19"/>
                <w:szCs w:val="19"/>
              </w:rPr>
              <w:t xml:space="preserve">Q 2,500</w:t>
            </w:r>
          </w:p>
        </w:tc>
        <w:tc>
          <w:tcPr>
            <w:tcW w:type="dxa" w:w="1280"/>
            <w:tcMar>
              <w:top w:type="dxa" w:w="80"/>
              <w:left w:type="dxa" w:w="100"/>
              <w:bottom w:type="dxa" w:w="80"/>
              <w:right w:type="dxa" w:w="100"/>
            </w:tcMar>
            <w:vAlign w:val="center"/>
          </w:tcPr>
          <w:p>
            <w:pPr>
              <w:spacing w:after="100"/>
              <w:jc w:val="center"/>
            </w:pPr>
            <w:r>
              <w:rPr>
                <w:sz w:val="19"/>
                <w:szCs w:val="19"/>
              </w:rPr>
              <w:t xml:space="preserve">13.5 meses</w:t>
            </w:r>
          </w:p>
        </w:tc>
      </w:tr>
      <w:tr>
        <w:tc>
          <w:tcPr>
            <w:tcW w:type="dxa" w:w="2200"/>
            <w:tcMar>
              <w:top w:type="dxa" w:w="80"/>
              <w:left w:type="dxa" w:w="100"/>
              <w:bottom w:type="dxa" w:w="80"/>
              <w:right w:type="dxa" w:w="100"/>
            </w:tcMar>
            <w:vAlign w:val="center"/>
          </w:tcPr>
          <w:p>
            <w:pPr>
              <w:spacing w:after="100"/>
            </w:pPr>
            <w:r>
              <w:rPr>
                <w:b/>
                <w:bCs/>
                <w:sz w:val="19"/>
                <w:szCs w:val="19"/>
              </w:rPr>
              <w:t xml:space="preserve">Gold</w:t>
            </w:r>
          </w:p>
        </w:tc>
        <w:tc>
          <w:tcPr>
            <w:tcW w:type="dxa" w:w="2200"/>
            <w:tcMar>
              <w:top w:type="dxa" w:w="80"/>
              <w:left w:type="dxa" w:w="100"/>
              <w:bottom w:type="dxa" w:w="80"/>
              <w:right w:type="dxa" w:w="100"/>
            </w:tcMar>
            <w:vAlign w:val="center"/>
          </w:tcPr>
          <w:p>
            <w:pPr>
              <w:spacing w:after="100"/>
              <w:jc w:val="center"/>
            </w:pPr>
            <w:r>
              <w:rPr>
                <w:sz w:val="19"/>
                <w:szCs w:val="19"/>
              </w:rPr>
              <w:t xml:space="preserve">Q 1,244/mes</w:t>
            </w:r>
          </w:p>
        </w:tc>
        <w:tc>
          <w:tcPr>
            <w:tcW w:type="dxa" w:w="2200"/>
            <w:tcMar>
              <w:top w:type="dxa" w:w="80"/>
              <w:left w:type="dxa" w:w="100"/>
              <w:bottom w:type="dxa" w:w="80"/>
              <w:right w:type="dxa" w:w="100"/>
            </w:tcMar>
            <w:vAlign w:val="center"/>
          </w:tcPr>
          <w:p>
            <w:pPr>
              <w:spacing w:after="100"/>
              <w:jc w:val="center"/>
            </w:pPr>
            <w:r>
              <w:rPr>
                <w:b/>
                <w:bCs/>
                <w:color w:val="1F3864"/>
                <w:sz w:val="19"/>
                <w:szCs w:val="19"/>
              </w:rPr>
              <w:t xml:space="preserve">Q 1,499/mes</w:t>
            </w:r>
          </w:p>
        </w:tc>
        <w:tc>
          <w:tcPr>
            <w:tcW w:type="dxa" w:w="2200"/>
            <w:tcMar>
              <w:top w:type="dxa" w:w="80"/>
              <w:left w:type="dxa" w:w="100"/>
              <w:bottom w:type="dxa" w:w="80"/>
              <w:right w:type="dxa" w:w="100"/>
            </w:tcMar>
            <w:vAlign w:val="center"/>
          </w:tcPr>
          <w:p>
            <w:pPr>
              <w:spacing w:after="100"/>
              <w:jc w:val="center"/>
            </w:pPr>
            <w:r>
              <w:rPr>
                <w:sz w:val="19"/>
                <w:szCs w:val="19"/>
              </w:rPr>
              <w:t xml:space="preserve">Q 4,000</w:t>
            </w:r>
          </w:p>
        </w:tc>
        <w:tc>
          <w:tcPr>
            <w:tcW w:type="dxa" w:w="1280"/>
            <w:tcMar>
              <w:top w:type="dxa" w:w="80"/>
              <w:left w:type="dxa" w:w="100"/>
              <w:bottom w:type="dxa" w:w="80"/>
              <w:right w:type="dxa" w:w="100"/>
            </w:tcMar>
            <w:vAlign w:val="center"/>
          </w:tcPr>
          <w:p>
            <w:pPr>
              <w:spacing w:after="100"/>
              <w:jc w:val="center"/>
            </w:pPr>
            <w:r>
              <w:rPr>
                <w:sz w:val="19"/>
                <w:szCs w:val="19"/>
              </w:rPr>
              <w:t xml:space="preserve">11.5 meses</w:t>
            </w:r>
          </w:p>
        </w:tc>
      </w:tr>
    </w:tbl>
    <w:p>
      <w:pPr>
        <w:spacing w:before="100"/>
      </w:pPr>
      <w:r>
        <w:rPr>
          <w:i/>
          <w:iCs/>
          <w:color w:val="555555"/>
          <w:sz w:val="18"/>
          <w:szCs w:val="18"/>
        </w:rPr>
        <w:t xml:space="preserve">* Con 20 clientes en ese plan específico y el precio redondeado ya aplicado — todos los escenarios quedan por debajo del plazo objetivo de 18 meses, dejando margen de seguridad ante un ritmo de ventas más lento al proyectado.</w:t>
      </w:r>
    </w:p>
    <w:p>
      <w:pPr>
        <w:spacing w:after="60"/>
        <w:jc w:val="center"/>
      </w:pPr>
      <w:r>
        <w:drawing>
          <wp:inline distT="0" distB="0" distL="0" distR="0">
            <wp:extent cx="64008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3267075"/>
                    </a:xfrm>
                    <a:prstGeom prst="rect">
                      <a:avLst/>
                    </a:prstGeom>
                  </pic:spPr>
                </pic:pic>
              </a:graphicData>
            </a:graphic>
          </wp:inline>
        </w:drawing>
      </w:r>
    </w:p>
    <w:p>
      <w:pPr>
        <w:spacing w:after="200"/>
        <w:jc w:val="center"/>
      </w:pPr>
      <w:r>
        <w:rPr>
          <w:i/>
          <w:iCs/>
          <w:color w:val="666666"/>
          <w:sz w:val="17"/>
          <w:szCs w:val="17"/>
        </w:rPr>
        <w:t xml:space="preserve">Precio mensual sugerido vs. referencias reales del mercado guatemalteco y regional</w:t>
      </w:r>
    </w:p>
    <w:p>
      <w:pPr>
        <w:pStyle w:val="Heading1"/>
        <w:spacing w:after="140" w:before="260"/>
      </w:pPr>
      <w:r>
        <w:t xml:space="preserve">7. BENCHMARK DE MERCADO</w:t>
      </w:r>
    </w:p>
    <w:p>
      <w:pPr>
        <w:spacing w:after="100"/>
      </w:pPr>
      <w:r>
        <w:rPr>
          <w:sz w:val="21"/>
          <w:szCs w:val="21"/>
        </w:rPr>
        <w:t xml:space="preserve">Los precios sugeridos se contrastaron contra ofertas reales del mercado guatemalteco y referencias regionales/globales, para evitar fijar un precio desconectado de lo que el mercado está dispuesto a pagar.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480"/>
      </w:tblGrid>
      <w:tr>
        <w:trPr>
          <w:tblHeader/>
        </w:trPr>
        <w:tc>
          <w:tcPr>
            <w:tcW w:type="dxa" w:w="2800"/>
            <w:shd w:fill="1F3864" w:val="clear"/>
            <w:tcMar>
              <w:top w:type="dxa" w:w="80"/>
              <w:left w:type="dxa" w:w="100"/>
              <w:bottom w:type="dxa" w:w="80"/>
              <w:right w:type="dxa" w:w="100"/>
            </w:tcMar>
            <w:vAlign w:val="center"/>
          </w:tcPr>
          <w:p>
            <w:pPr>
              <w:spacing w:after="100"/>
            </w:pPr>
            <w:r>
              <w:rPr>
                <w:b/>
                <w:bCs/>
                <w:color w:val="FFFFFF"/>
                <w:sz w:val="19"/>
                <w:szCs w:val="19"/>
              </w:rPr>
              <w:t xml:space="preserve">Referencia</w:t>
            </w:r>
          </w:p>
        </w:tc>
        <w:tc>
          <w:tcPr>
            <w:tcW w:type="dxa" w:w="1800"/>
            <w:shd w:fill="1F3864" w:val="clear"/>
            <w:tcMar>
              <w:top w:type="dxa" w:w="80"/>
              <w:left w:type="dxa" w:w="100"/>
              <w:bottom w:type="dxa" w:w="80"/>
              <w:right w:type="dxa" w:w="100"/>
            </w:tcMar>
            <w:vAlign w:val="center"/>
          </w:tcPr>
          <w:p>
            <w:pPr>
              <w:spacing w:after="100"/>
            </w:pPr>
            <w:r>
              <w:rPr>
                <w:b/>
                <w:bCs/>
                <w:color w:val="FFFFFF"/>
                <w:sz w:val="19"/>
                <w:szCs w:val="19"/>
              </w:rPr>
              <w:t xml:space="preserve">Precio</w:t>
            </w:r>
          </w:p>
        </w:tc>
        <w:tc>
          <w:tcPr>
            <w:tcW w:type="dxa" w:w="5480"/>
            <w:shd w:fill="1F3864" w:val="clear"/>
            <w:tcMar>
              <w:top w:type="dxa" w:w="80"/>
              <w:left w:type="dxa" w:w="100"/>
              <w:bottom w:type="dxa" w:w="80"/>
              <w:right w:type="dxa" w:w="100"/>
            </w:tcMar>
            <w:vAlign w:val="center"/>
          </w:tcPr>
          <w:p>
            <w:pPr>
              <w:spacing w:after="100"/>
            </w:pPr>
            <w:r>
              <w:rPr>
                <w:b/>
                <w:bCs/>
                <w:color w:val="FFFFFF"/>
                <w:sz w:val="19"/>
                <w:szCs w:val="19"/>
              </w:rPr>
              <w:t xml:space="preserve">Alcance</w:t>
            </w:r>
          </w:p>
        </w:tc>
      </w:tr>
      <w:tr>
        <w:tc>
          <w:tcPr>
            <w:tcW w:type="dxa" w:w="2800"/>
            <w:tcMar>
              <w:top w:type="dxa" w:w="80"/>
              <w:left w:type="dxa" w:w="100"/>
              <w:bottom w:type="dxa" w:w="80"/>
              <w:right w:type="dxa" w:w="100"/>
            </w:tcMar>
            <w:vAlign w:val="center"/>
          </w:tcPr>
          <w:p>
            <w:pPr>
              <w:spacing w:after="100"/>
            </w:pPr>
            <w:r>
              <w:rPr>
                <w:b/>
                <w:bCs/>
                <w:sz w:val="18"/>
                <w:szCs w:val="18"/>
              </w:rPr>
              <w:t xml:space="preserve">PosFile (Guatemala)</w:t>
            </w:r>
          </w:p>
        </w:tc>
        <w:tc>
          <w:tcPr>
            <w:tcW w:type="dxa" w:w="1800"/>
            <w:tcMar>
              <w:top w:type="dxa" w:w="80"/>
              <w:left w:type="dxa" w:w="100"/>
              <w:bottom w:type="dxa" w:w="80"/>
              <w:right w:type="dxa" w:w="100"/>
            </w:tcMar>
            <w:vAlign w:val="center"/>
          </w:tcPr>
          <w:p>
            <w:pPr>
              <w:spacing w:after="100"/>
              <w:jc w:val="center"/>
            </w:pPr>
            <w:r>
              <w:rPr>
                <w:sz w:val="18"/>
                <w:szCs w:val="18"/>
              </w:rPr>
              <w:t xml:space="preserve">Desde Q 200/mes</w:t>
            </w:r>
          </w:p>
        </w:tc>
        <w:tc>
          <w:tcPr>
            <w:tcW w:type="dxa" w:w="5480"/>
            <w:tcMar>
              <w:top w:type="dxa" w:w="80"/>
              <w:left w:type="dxa" w:w="100"/>
              <w:bottom w:type="dxa" w:w="80"/>
              <w:right w:type="dxa" w:w="100"/>
            </w:tcMar>
            <w:vAlign w:val="center"/>
          </w:tcPr>
          <w:p>
            <w:pPr>
              <w:spacing w:after="100"/>
            </w:pPr>
            <w:r>
              <w:rPr>
                <w:sz w:val="18"/>
                <w:szCs w:val="18"/>
              </w:rPr>
              <w:t xml:space="preserve">POS + facturación electrónica FEL, funcionalidad básica.</w:t>
            </w:r>
          </w:p>
        </w:tc>
      </w:tr>
      <w:tr>
        <w:tc>
          <w:tcPr>
            <w:tcW w:type="dxa" w:w="2800"/>
            <w:tcMar>
              <w:top w:type="dxa" w:w="80"/>
              <w:left w:type="dxa" w:w="100"/>
              <w:bottom w:type="dxa" w:w="80"/>
              <w:right w:type="dxa" w:w="100"/>
            </w:tcMar>
            <w:vAlign w:val="center"/>
          </w:tcPr>
          <w:p>
            <w:pPr>
              <w:spacing w:after="100"/>
            </w:pPr>
            <w:r>
              <w:rPr>
                <w:b/>
                <w:bCs/>
                <w:sz w:val="18"/>
                <w:szCs w:val="18"/>
              </w:rPr>
              <w:t xml:space="preserve">Sabor Suite (Guatemala/CA)</w:t>
            </w:r>
          </w:p>
        </w:tc>
        <w:tc>
          <w:tcPr>
            <w:tcW w:type="dxa" w:w="1800"/>
            <w:tcMar>
              <w:top w:type="dxa" w:w="80"/>
              <w:left w:type="dxa" w:w="100"/>
              <w:bottom w:type="dxa" w:w="80"/>
              <w:right w:type="dxa" w:w="100"/>
            </w:tcMar>
            <w:vAlign w:val="center"/>
          </w:tcPr>
          <w:p>
            <w:pPr>
              <w:spacing w:after="100"/>
              <w:jc w:val="center"/>
            </w:pPr>
            <w:r>
              <w:rPr>
                <w:sz w:val="18"/>
                <w:szCs w:val="18"/>
              </w:rPr>
              <w:t xml:space="preserve">~Q 349/mes ($45)</w:t>
            </w:r>
          </w:p>
        </w:tc>
        <w:tc>
          <w:tcPr>
            <w:tcW w:type="dxa" w:w="5480"/>
            <w:tcMar>
              <w:top w:type="dxa" w:w="80"/>
              <w:left w:type="dxa" w:w="100"/>
              <w:bottom w:type="dxa" w:w="80"/>
              <w:right w:type="dxa" w:w="100"/>
            </w:tcMar>
            <w:vAlign w:val="center"/>
          </w:tcPr>
          <w:p>
            <w:pPr>
              <w:spacing w:after="100"/>
            </w:pPr>
            <w:r>
              <w:rPr>
                <w:sz w:val="18"/>
                <w:szCs w:val="18"/>
              </w:rPr>
              <w:t xml:space="preserve">Plan único con usuarios ilimitados: pedidos, mesas, KDS, inventario, delivery, FEL — comparable en alcance a nuestro Plan Básico/Premium.</w:t>
            </w:r>
          </w:p>
        </w:tc>
      </w:tr>
      <w:tr>
        <w:tc>
          <w:tcPr>
            <w:tcW w:type="dxa" w:w="2800"/>
            <w:tcMar>
              <w:top w:type="dxa" w:w="80"/>
              <w:left w:type="dxa" w:w="100"/>
              <w:bottom w:type="dxa" w:w="80"/>
              <w:right w:type="dxa" w:w="100"/>
            </w:tcMar>
            <w:vAlign w:val="center"/>
          </w:tcPr>
          <w:p>
            <w:pPr>
              <w:spacing w:after="100"/>
            </w:pPr>
            <w:r>
              <w:rPr>
                <w:b/>
                <w:bCs/>
                <w:sz w:val="18"/>
                <w:szCs w:val="18"/>
              </w:rPr>
              <w:t xml:space="preserve">Rango global de referencia</w:t>
            </w:r>
          </w:p>
        </w:tc>
        <w:tc>
          <w:tcPr>
            <w:tcW w:type="dxa" w:w="1800"/>
            <w:tcMar>
              <w:top w:type="dxa" w:w="80"/>
              <w:left w:type="dxa" w:w="100"/>
              <w:bottom w:type="dxa" w:w="80"/>
              <w:right w:type="dxa" w:w="100"/>
            </w:tcMar>
            <w:vAlign w:val="center"/>
          </w:tcPr>
          <w:p>
            <w:pPr>
              <w:spacing w:after="100"/>
              <w:jc w:val="center"/>
            </w:pPr>
            <w:r>
              <w:rPr>
                <w:sz w:val="18"/>
                <w:szCs w:val="18"/>
              </w:rPr>
              <w:t xml:space="preserve">Q 535 - Q 1,940/mes ($69-$250)</w:t>
            </w:r>
          </w:p>
        </w:tc>
        <w:tc>
          <w:tcPr>
            <w:tcW w:type="dxa" w:w="5480"/>
            <w:tcMar>
              <w:top w:type="dxa" w:w="80"/>
              <w:left w:type="dxa" w:w="100"/>
              <w:bottom w:type="dxa" w:w="80"/>
              <w:right w:type="dxa" w:w="100"/>
            </w:tcMar>
            <w:vAlign w:val="center"/>
          </w:tcPr>
          <w:p>
            <w:pPr>
              <w:spacing w:after="100"/>
            </w:pPr>
            <w:r>
              <w:rPr>
                <w:sz w:val="18"/>
                <w:szCs w:val="18"/>
              </w:rPr>
              <w:t xml:space="preserve">Sistemas POS de restaurante con integraciones completas (delivery, fidelización, BI), a nivel internacional.</w:t>
            </w:r>
          </w:p>
        </w:tc>
      </w:tr>
      <w:tr>
        <w:tc>
          <w:tcPr>
            <w:tcW w:type="dxa" w:w="2800"/>
            <w:tcMar>
              <w:top w:type="dxa" w:w="80"/>
              <w:left w:type="dxa" w:w="100"/>
              <w:bottom w:type="dxa" w:w="80"/>
              <w:right w:type="dxa" w:w="100"/>
            </w:tcMar>
            <w:vAlign w:val="center"/>
          </w:tcPr>
          <w:p>
            <w:pPr>
              <w:spacing w:after="100"/>
            </w:pPr>
            <w:r>
              <w:rPr>
                <w:b/>
                <w:bCs/>
                <w:sz w:val="18"/>
                <w:szCs w:val="18"/>
              </w:rPr>
              <w:t xml:space="preserve">Plan Básico propuesto</w:t>
            </w:r>
          </w:p>
        </w:tc>
        <w:tc>
          <w:tcPr>
            <w:tcW w:type="dxa" w:w="1800"/>
            <w:tcMar>
              <w:top w:type="dxa" w:w="80"/>
              <w:left w:type="dxa" w:w="100"/>
              <w:bottom w:type="dxa" w:w="80"/>
              <w:right w:type="dxa" w:w="100"/>
            </w:tcMar>
            <w:vAlign w:val="center"/>
          </w:tcPr>
          <w:p>
            <w:pPr>
              <w:spacing w:after="100"/>
              <w:jc w:val="center"/>
            </w:pPr>
            <w:r>
              <w:rPr>
                <w:sz w:val="18"/>
                <w:szCs w:val="18"/>
              </w:rPr>
              <w:t xml:space="preserve">Q 599/mes</w:t>
            </w:r>
          </w:p>
        </w:tc>
        <w:tc>
          <w:tcPr>
            <w:tcW w:type="dxa" w:w="5480"/>
            <w:tcMar>
              <w:top w:type="dxa" w:w="80"/>
              <w:left w:type="dxa" w:w="100"/>
              <w:bottom w:type="dxa" w:w="80"/>
              <w:right w:type="dxa" w:w="100"/>
            </w:tcMar>
            <w:vAlign w:val="center"/>
          </w:tcPr>
          <w:p>
            <w:pPr>
              <w:spacing w:after="100"/>
            </w:pPr>
            <w:r>
              <w:rPr>
                <w:sz w:val="18"/>
                <w:szCs w:val="18"/>
              </w:rPr>
              <w:t xml:space="preserve">Por encima del piso local (Q200-349) — justificado por incluir 14 módulos completos desde el día uno (KDS, inventario BOM, reservaciones, RRHH), no solo POS+FEL.</w:t>
            </w:r>
          </w:p>
        </w:tc>
      </w:tr>
      <w:tr>
        <w:tc>
          <w:tcPr>
            <w:tcW w:type="dxa" w:w="2800"/>
            <w:tcMar>
              <w:top w:type="dxa" w:w="80"/>
              <w:left w:type="dxa" w:w="100"/>
              <w:bottom w:type="dxa" w:w="80"/>
              <w:right w:type="dxa" w:w="100"/>
            </w:tcMar>
            <w:vAlign w:val="center"/>
          </w:tcPr>
          <w:p>
            <w:pPr>
              <w:spacing w:after="100"/>
            </w:pPr>
            <w:r>
              <w:rPr>
                <w:b/>
                <w:bCs/>
                <w:sz w:val="18"/>
                <w:szCs w:val="18"/>
              </w:rPr>
              <w:t xml:space="preserve">Plan Premium propuesto</w:t>
            </w:r>
          </w:p>
        </w:tc>
        <w:tc>
          <w:tcPr>
            <w:tcW w:type="dxa" w:w="1800"/>
            <w:tcMar>
              <w:top w:type="dxa" w:w="80"/>
              <w:left w:type="dxa" w:w="100"/>
              <w:bottom w:type="dxa" w:w="80"/>
              <w:right w:type="dxa" w:w="100"/>
            </w:tcMar>
            <w:vAlign w:val="center"/>
          </w:tcPr>
          <w:p>
            <w:pPr>
              <w:spacing w:after="100"/>
              <w:jc w:val="center"/>
            </w:pPr>
            <w:r>
              <w:rPr>
                <w:sz w:val="18"/>
                <w:szCs w:val="18"/>
              </w:rPr>
              <w:t xml:space="preserve">Q 999/mes</w:t>
            </w:r>
          </w:p>
        </w:tc>
        <w:tc>
          <w:tcPr>
            <w:tcW w:type="dxa" w:w="5480"/>
            <w:tcMar>
              <w:top w:type="dxa" w:w="80"/>
              <w:left w:type="dxa" w:w="100"/>
              <w:bottom w:type="dxa" w:w="80"/>
              <w:right w:type="dxa" w:w="100"/>
            </w:tcMar>
            <w:vAlign w:val="center"/>
          </w:tcPr>
          <w:p>
            <w:pPr>
              <w:spacing w:after="100"/>
            </w:pPr>
            <w:r>
              <w:rPr>
                <w:sz w:val="18"/>
                <w:szCs w:val="18"/>
              </w:rPr>
              <w:t xml:space="preserve">Dentro del rango medio global — automatización, alertas, integraciones WhatsApp y 2FA.</w:t>
            </w:r>
          </w:p>
        </w:tc>
      </w:tr>
      <w:tr>
        <w:tc>
          <w:tcPr>
            <w:tcW w:type="dxa" w:w="2800"/>
            <w:tcMar>
              <w:top w:type="dxa" w:w="80"/>
              <w:left w:type="dxa" w:w="100"/>
              <w:bottom w:type="dxa" w:w="80"/>
              <w:right w:type="dxa" w:w="100"/>
            </w:tcMar>
            <w:vAlign w:val="center"/>
          </w:tcPr>
          <w:p>
            <w:pPr>
              <w:spacing w:after="100"/>
            </w:pPr>
            <w:r>
              <w:rPr>
                <w:b/>
                <w:bCs/>
                <w:sz w:val="18"/>
                <w:szCs w:val="18"/>
              </w:rPr>
              <w:t xml:space="preserve">Plan Gold propuesto</w:t>
            </w:r>
          </w:p>
        </w:tc>
        <w:tc>
          <w:tcPr>
            <w:tcW w:type="dxa" w:w="1800"/>
            <w:tcMar>
              <w:top w:type="dxa" w:w="80"/>
              <w:left w:type="dxa" w:w="100"/>
              <w:bottom w:type="dxa" w:w="80"/>
              <w:right w:type="dxa" w:w="100"/>
            </w:tcMar>
            <w:vAlign w:val="center"/>
          </w:tcPr>
          <w:p>
            <w:pPr>
              <w:spacing w:after="100"/>
              <w:jc w:val="center"/>
            </w:pPr>
            <w:r>
              <w:rPr>
                <w:sz w:val="18"/>
                <w:szCs w:val="18"/>
              </w:rPr>
              <w:t xml:space="preserve">Q 1,499/mes</w:t>
            </w:r>
          </w:p>
        </w:tc>
        <w:tc>
          <w:tcPr>
            <w:tcW w:type="dxa" w:w="5480"/>
            <w:tcMar>
              <w:top w:type="dxa" w:w="80"/>
              <w:left w:type="dxa" w:w="100"/>
              <w:bottom w:type="dxa" w:w="80"/>
              <w:right w:type="dxa" w:w="100"/>
            </w:tcMar>
            <w:vAlign w:val="center"/>
          </w:tcPr>
          <w:p>
            <w:pPr>
              <w:spacing w:after="100"/>
            </w:pPr>
            <w:r>
              <w:rPr>
                <w:sz w:val="18"/>
                <w:szCs w:val="18"/>
              </w:rPr>
              <w:t xml:space="preserve">Dentro del rango global alto — BI predictivo, biometría, GPS de delivery, CRM avanzado.</w:t>
            </w:r>
          </w:p>
        </w:tc>
      </w:tr>
    </w:tbl>
    <w:p>
      <w:pPr>
        <w:spacing w:before="120"/>
      </w:pPr>
      <w:r>
        <w:rPr>
          <w:i/>
          <w:iCs/>
          <w:color w:val="888888"/>
          <w:sz w:val="16"/>
          <w:szCs w:val="16"/>
        </w:rPr>
        <w:t xml:space="preserve">Fuentes: posfile.com/precios-posfile, saborsuite.com, y guías de precios de sistemas POS para restaurante (OlaClick, Slant POS) consultadas en agosto 2026.</w:t>
      </w:r>
    </w:p>
    <w:p>
      <w:pPr>
        <w:pStyle w:val="Heading1"/>
        <w:spacing w:after="140" w:before="260"/>
      </w:pPr>
      <w:r>
        <w:t xml:space="preserve">8. RIESGOS Y CONSIDERACIONES SOBRE LOS SUPUESTOS</w:t>
      </w:r>
    </w:p>
    <w:p>
      <w:pPr>
        <w:spacing w:after="60"/>
      </w:pPr>
      <w:r>
        <w:rPr>
          <w:b/>
          <w:bCs/>
          <w:sz w:val="20"/>
          <w:szCs w:val="20"/>
        </w:rPr>
        <w:t xml:space="preserve">•  </w:t>
      </w:r>
      <w:r>
        <w:rPr>
          <w:sz w:val="20"/>
          <w:szCs w:val="20"/>
        </w:rPr>
        <w:t xml:space="preserve">La tarifa de Q150/hora es un punto medio razonable, pero el costo real cambia directamente si Mauricio desarrolla una parte del sistema él mismo (costo de oportunidad, no efectivo) en vez de contratar desarrolladores externos a esa tarifa.</w:t>
      </w:r>
    </w:p>
    <w:p>
      <w:pPr>
        <w:spacing w:after="60"/>
      </w:pPr>
      <w:r>
        <w:rPr>
          <w:b/>
          <w:bCs/>
          <w:sz w:val="20"/>
          <w:szCs w:val="20"/>
        </w:rPr>
        <w:t xml:space="preserve">•  </w:t>
      </w:r>
      <w:r>
        <w:rPr>
          <w:sz w:val="20"/>
          <w:szCs w:val="20"/>
        </w:rPr>
        <w:t xml:space="preserve">El supuesto de 20 clientes en el primer año es el que más afecta el precio de venta sugerido: con menos clientes, el precio necesario para recuperar la inversión en 18 meses sube significativamente; con más clientes, podría bajar y ser más competitivo.</w:t>
      </w:r>
    </w:p>
    <w:p>
      <w:pPr>
        <w:spacing w:after="60"/>
      </w:pPr>
      <w:r>
        <w:rPr>
          <w:b/>
          <w:bCs/>
          <w:sz w:val="20"/>
          <w:szCs w:val="20"/>
        </w:rPr>
        <w:t xml:space="preserve">•  </w:t>
      </w:r>
      <w:r>
        <w:rPr>
          <w:sz w:val="20"/>
          <w:szCs w:val="20"/>
        </w:rPr>
        <w:t xml:space="preserve">Las horas por complejidad (6/14/28) son un estándar de industria razonable, pero no sustituyen una estimación técnica detallada por Sprint una vez que el equipo de desarrollo esté definido.</w:t>
      </w:r>
    </w:p>
    <w:p>
      <w:pPr>
        <w:spacing w:after="60"/>
      </w:pPr>
      <w:r>
        <w:rPr>
          <w:b/>
          <w:bCs/>
          <w:sz w:val="20"/>
          <w:szCs w:val="20"/>
        </w:rPr>
        <w:t xml:space="preserve">•  </w:t>
      </w:r>
      <w:r>
        <w:rPr>
          <w:sz w:val="20"/>
          <w:szCs w:val="20"/>
        </w:rPr>
        <w:t xml:space="preserve">No se incluyen costos de marketing, ventas ni adquisición de clientes (CAC) — este documento cubre exclusivamente el costo de construir el software y una primera propuesta de precio, no el plan comercial completo de lanzamiento.</w:t>
      </w:r>
    </w:p>
    <w:p>
      <w:pPr>
        <w:spacing w:after="60"/>
      </w:pPr>
      <w:r>
        <w:rPr>
          <w:b/>
          <w:bCs/>
          <w:sz w:val="20"/>
          <w:szCs w:val="20"/>
        </w:rPr>
        <w:t xml:space="preserve">•  </w:t>
      </w:r>
      <w:r>
        <w:rPr>
          <w:sz w:val="20"/>
          <w:szCs w:val="20"/>
        </w:rPr>
        <w:t xml:space="preserve">Los costos de hardware (tablets, impresoras, lectores de tarjeta) no están incluidos — son un costo aparte para cada restaurante cliente, como es estándar en la industria (ver sección 7).</w:t>
      </w:r>
    </w:p>
    <w:p>
      <w:pPr>
        <w:spacing w:before="160"/>
      </w:pPr>
      <w:r>
        <w:rPr>
          <w:b/>
          <w:bCs/>
          <w:sz w:val="21"/>
          <w:szCs w:val="21"/>
        </w:rPr>
        <w:t xml:space="preserve">Recomendación final: usar estas cifras como punto de partida para una conversación de negocio, no como presupuesto cerrado. El siguiente paso natural sería validar la tarifa por hora real con 2-3 cotizaciones de desarrolladores/estudios en Guatemala, y validar el supuesto de 20 clientes con entrevistas a dueños de restaurantes potenciales.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b/>
      <w:bCs/>
      <w:color w:val="1F3864"/>
      <w:sz w:val="30"/>
      <w:szCs w:val="30"/>
    </w:rPr>
  </w:style>
  <w:style w:type="paragraph" w:styleId="Heading2">
    <w:name w:val="Heading 2"/>
    <w:basedOn w:val="Normal"/>
    <w:next w:val="Normal"/>
    <w:qFormat/>
    <w:pPr>
      <w:spacing w:after="100" w:before="200"/>
      <w:outlineLvl w:val="1"/>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5ff7a1a32da4fa39745a10924fd4a4b0186596.png"/><Relationship Id="rId8" Type="http://schemas.openxmlformats.org/officeDocument/2006/relationships/image" Target="media/cfc05816ab500350a95d05e34f04f73d70a59a3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2026-08-16T06:46:27.453Z</dcterms:created>
  <dcterms:modified xsi:type="dcterms:W3CDTF">2026-08-16T06:46:27.453Z</dcterms:modified>
</cp:coreProperties>
</file>

<file path=docProps/custom.xml><?xml version="1.0" encoding="utf-8"?>
<Properties xmlns="http://schemas.openxmlformats.org/officeDocument/2006/custom-properties" xmlns:vt="http://schemas.openxmlformats.org/officeDocument/2006/docPropsVTypes"/>
</file>