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color w:val="ff0000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color w:val="ff0000"/>
          <w:sz w:val="34"/>
          <w:szCs w:val="34"/>
          <w:rtl w:val="0"/>
        </w:rPr>
        <w:t xml:space="preserve">FIRST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425-319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-xxxx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first.last@email.com</w:t>
      </w:r>
    </w:p>
    <w:p w:rsidR="00000000" w:rsidDel="00000000" w:rsidP="00000000" w:rsidRDefault="00000000" w:rsidRPr="00000000" w14:paraId="00000004">
      <w:pPr>
        <w:widowControl w:val="0"/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github.com/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portfolioname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linkedin.com/in/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Associate’s of Science: Information Technology</w:t>
        <w:tab/>
        <w:t xml:space="preserve">Community College Name, Date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Introduction to Computer Science and Programming Using Python</w:t>
        <w:tab/>
        <w:t xml:space="preserve">MITx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br w:type="textWrapping"/>
        <w:t xml:space="preserve">Cybersecurity for Critical Urban Infrastructure</w:t>
        <w:tab/>
        <w:t xml:space="preserve">MITx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CompTIA Security+ (Expected 12/23)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Google Cybersecurity Professional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FEMA National Incident Management System (NIMS): ICS-100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Qualys Vulnerability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both"/>
        <w:rPr>
          <w:rFonts w:ascii="Garamond" w:cs="Garamond" w:eastAsia="Garamond" w:hAnsi="Garamond"/>
          <w:sz w:val="2"/>
          <w:szCs w:val="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Implementing a SOC and Honeynet in Azure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Source: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github.com/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portfolioname/project-url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Platforms and Technology Used: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Azure Virtual Machines,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Microsoft Sentinel (SIEM), Log Analytics</w:t>
      </w:r>
    </w:p>
    <w:p w:rsidR="00000000" w:rsidDel="00000000" w:rsidP="00000000" w:rsidRDefault="00000000" w:rsidRPr="00000000" w14:paraId="00000015">
      <w:pPr>
        <w:widowControl w:val="0"/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right" w:leader="none" w:pos="10800"/>
        </w:tabs>
        <w:spacing w:after="0" w:lineRule="auto"/>
        <w:ind w:left="0" w:firstLine="0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color w:val="ff0000"/>
          <w:rtl w:val="0"/>
        </w:rPr>
        <w:t xml:space="preserve">Company: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 Log(N) Pacific</w:t>
        <w:tab/>
        <w:t xml:space="preserve">4/1/2023 -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right" w:leader="none" w:pos="10800"/>
        </w:tabs>
        <w:spacing w:after="0" w:lineRule="auto"/>
        <w:ind w:left="0" w:firstLine="0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color w:val="ff0000"/>
          <w:rtl w:val="0"/>
        </w:rPr>
        <w:t xml:space="preserve">Title: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Cyber Security Support Engineer (Intern)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Implement secure cloud configurations using Azure Private Link, Network Security Groups, Microsoft Defender for Cloud, and Azure Regulatory Compliance for NIST 800-53, resulting in a </w:t>
      </w:r>
      <w:r w:rsidDel="00000000" w:rsidR="00000000" w:rsidRPr="00000000">
        <w:rPr>
          <w:rFonts w:ascii="Garamond" w:cs="Garamond" w:eastAsia="Garamond" w:hAnsi="Garamond"/>
          <w:b w:val="1"/>
          <w:color w:val="ff0000"/>
          <w:u w:val="single"/>
          <w:rtl w:val="0"/>
        </w:rPr>
        <w:t xml:space="preserve">X%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 reduction in security incidents over the same time interval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Troubleshoot and support Microsoft Azure services, including Microsoft Sentinel (SIEM), Virtual Machines, Azure Monitor, and Azure Active Directory, resolving X number of issues per week on average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Develop KQL queries to support Log Analytics workspace and Microsoft Sentinel, resulting in X number of new SIEM dashboards and workbooks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3780"/>
          <w:tab w:val="right" w:leader="none" w:pos="936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&lt;Company Name&gt;</w:t>
        <w:tab/>
        <w:t xml:space="preserve">Start Date - End Date</w:t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&lt;Title&gt;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Responsibility 1 (with metrics if possible)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Responsibility 2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Responsibility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3780"/>
          <w:tab w:val="right" w:leader="none" w:pos="936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&lt;Company Name&gt;</w:t>
        <w:tab/>
        <w:t xml:space="preserve">Start Date -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&lt;Title&gt;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3780"/>
          <w:tab w:val="right" w:leader="none" w:pos="9360"/>
        </w:tabs>
        <w:spacing w:after="0" w:lineRule="auto"/>
        <w:ind w:left="72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&lt;General responsibilities (1 sentence)&gt;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3780"/>
          <w:tab w:val="right" w:leader="none" w:pos="936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SKILLS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Microsoft Office Suite, Help Desk, Ticketing System, Azure, Network Security Groups, Firewalls, ACLs (Access Control Lists), Virtual Machines, Virtual Networks, Cloud Computing, Active Directory, File Permissions, Windows 10, SIEM, Sentinel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left"/>
      <w:rPr>
        <w:smallCaps w:val="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