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F0" w:rsidRPr="0023575C" w:rsidRDefault="00D251F0" w:rsidP="0023575C">
      <w:pPr>
        <w:pStyle w:val="Titre"/>
        <w:jc w:val="center"/>
        <w:rPr>
          <w:rFonts w:ascii="Times New Roman" w:hAnsi="Times New Roman" w:cs="Times New Roman"/>
        </w:rPr>
      </w:pPr>
      <w:r w:rsidRPr="0023575C">
        <w:rPr>
          <w:rFonts w:ascii="Times New Roman" w:hAnsi="Times New Roman" w:cs="Times New Roman"/>
        </w:rPr>
        <w:t>Description des graphes.</w:t>
      </w:r>
    </w:p>
    <w:p w:rsidR="00D251F0" w:rsidRDefault="00D251F0" w:rsidP="00D251F0">
      <w:r>
        <w:t>Ce document est une première interprétation pas espèces d’intérêt des graphes selon nos espèces d’études.</w:t>
      </w:r>
    </w:p>
    <w:p w:rsidR="00D251F0" w:rsidRPr="00D251F0" w:rsidRDefault="00D251F0" w:rsidP="00D251F0">
      <w:pPr>
        <w:pStyle w:val="Titre1"/>
      </w:pPr>
      <w:r w:rsidRPr="00D251F0">
        <w:t xml:space="preserve">Jacaranda </w:t>
      </w:r>
      <w:proofErr w:type="spellStart"/>
      <w:r w:rsidRPr="00D251F0">
        <w:t>copaia</w:t>
      </w:r>
      <w:proofErr w:type="spellEnd"/>
    </w:p>
    <w:p w:rsidR="00D251F0" w:rsidRDefault="00D251F0" w:rsidP="00D251F0">
      <w:r>
        <w:t>D’après (</w:t>
      </w:r>
      <w:proofErr w:type="spellStart"/>
      <w:r>
        <w:t>Oldeman</w:t>
      </w:r>
      <w:proofErr w:type="spellEnd"/>
      <w:r>
        <w:t xml:space="preserve"> &amp; </w:t>
      </w:r>
      <w:proofErr w:type="spellStart"/>
      <w:r>
        <w:t>Dijk</w:t>
      </w:r>
      <w:proofErr w:type="spellEnd"/>
      <w:r>
        <w:t xml:space="preserve">, 1991) </w:t>
      </w:r>
      <w:proofErr w:type="gramStart"/>
      <w:r>
        <w:t>cette espèces</w:t>
      </w:r>
      <w:proofErr w:type="gramEnd"/>
      <w:r>
        <w:t xml:space="preserve"> a un comportement de type </w:t>
      </w:r>
      <w:r w:rsidRPr="00652E41">
        <w:rPr>
          <w:b/>
        </w:rPr>
        <w:t xml:space="preserve">hard </w:t>
      </w:r>
      <w:proofErr w:type="spellStart"/>
      <w:r w:rsidRPr="00652E41">
        <w:rPr>
          <w:b/>
        </w:rPr>
        <w:t>gambler</w:t>
      </w:r>
      <w:proofErr w:type="spellEnd"/>
      <w:r>
        <w:t xml:space="preserve"> </w:t>
      </w:r>
      <w:proofErr w:type="spellStart"/>
      <w:r>
        <w:t>cad</w:t>
      </w:r>
      <w:proofErr w:type="spellEnd"/>
      <w:r>
        <w:t xml:space="preserve"> qu’il se développe toute sa vie qu’en zone de lumière. Sa </w:t>
      </w:r>
      <w:proofErr w:type="spellStart"/>
      <w:r>
        <w:t>cdf</w:t>
      </w:r>
      <w:proofErr w:type="spellEnd"/>
      <w:r>
        <w:t xml:space="preserve"> semble très rectiligne.</w:t>
      </w:r>
    </w:p>
    <w:p w:rsidR="00D251F0" w:rsidRDefault="00D251F0" w:rsidP="00D251F0">
      <w:r>
        <w:rPr>
          <w:noProof/>
          <w:lang w:eastAsia="fr-FR"/>
        </w:rPr>
        <w:drawing>
          <wp:inline distT="0" distB="0" distL="0" distR="0" wp14:anchorId="142766FD" wp14:editId="46A6B74D">
            <wp:extent cx="4114800" cy="2790825"/>
            <wp:effectExtent l="0" t="0" r="0" b="9525"/>
            <wp:docPr id="21" name="Picture"/>
            <wp:cNvGraphicFramePr/>
            <a:graphic xmlns:a="http://schemas.openxmlformats.org/drawingml/2006/main">
              <a:graphicData uri="http://schemas.openxmlformats.org/drawingml/2006/picture">
                <pic:pic xmlns:pic="http://schemas.openxmlformats.org/drawingml/2006/picture">
                  <pic:nvPicPr>
                    <pic:cNvPr id="22" name="Picture" descr="Distribution-diamétrique--INRAE-_files/figure-docx/unnamed-chunk-1-1.png"/>
                    <pic:cNvPicPr>
                      <a:picLocks noChangeAspect="1" noChangeArrowheads="1"/>
                    </pic:cNvPicPr>
                  </pic:nvPicPr>
                  <pic:blipFill>
                    <a:blip r:embed="rId7"/>
                    <a:stretch>
                      <a:fillRect/>
                    </a:stretch>
                  </pic:blipFill>
                  <pic:spPr bwMode="auto">
                    <a:xfrm>
                      <a:off x="0" y="0"/>
                      <a:ext cx="4115249" cy="2791130"/>
                    </a:xfrm>
                    <a:prstGeom prst="rect">
                      <a:avLst/>
                    </a:prstGeom>
                    <a:noFill/>
                    <a:ln w="9525">
                      <a:noFill/>
                      <a:headEnd/>
                      <a:tailEnd/>
                    </a:ln>
                  </pic:spPr>
                </pic:pic>
              </a:graphicData>
            </a:graphic>
          </wp:inline>
        </w:drawing>
      </w:r>
    </w:p>
    <w:p w:rsidR="00D251F0" w:rsidRDefault="00D251F0" w:rsidP="00D251F0">
      <w:r>
        <w:rPr>
          <w:noProof/>
          <w:lang w:eastAsia="fr-FR"/>
        </w:rPr>
        <w:drawing>
          <wp:inline distT="0" distB="0" distL="0" distR="0" wp14:anchorId="6052BCC6" wp14:editId="6120D331">
            <wp:extent cx="3971925" cy="2724150"/>
            <wp:effectExtent l="0" t="0" r="9525"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Distribution-diamétrique--INRAE-_files/figure-docx/cdf-1.png"/>
                    <pic:cNvPicPr>
                      <a:picLocks noChangeAspect="1" noChangeArrowheads="1"/>
                    </pic:cNvPicPr>
                  </pic:nvPicPr>
                  <pic:blipFill>
                    <a:blip r:embed="rId8"/>
                    <a:stretch>
                      <a:fillRect/>
                    </a:stretch>
                  </pic:blipFill>
                  <pic:spPr bwMode="auto">
                    <a:xfrm>
                      <a:off x="0" y="0"/>
                      <a:ext cx="3972358" cy="2724447"/>
                    </a:xfrm>
                    <a:prstGeom prst="rect">
                      <a:avLst/>
                    </a:prstGeom>
                    <a:noFill/>
                    <a:ln w="9525">
                      <a:noFill/>
                      <a:headEnd/>
                      <a:tailEnd/>
                    </a:ln>
                  </pic:spPr>
                </pic:pic>
              </a:graphicData>
            </a:graphic>
          </wp:inline>
        </w:drawing>
      </w:r>
    </w:p>
    <w:p w:rsidR="00D251F0" w:rsidRDefault="00D251F0" w:rsidP="00D251F0"/>
    <w:p w:rsidR="00D251F0" w:rsidRDefault="00D251F0" w:rsidP="00D251F0">
      <w:r>
        <w:t xml:space="preserve"> </w:t>
      </w:r>
    </w:p>
    <w:p w:rsidR="00D251F0" w:rsidRDefault="00D251F0" w:rsidP="00D251F0">
      <w:r>
        <w:t xml:space="preserve"> </w:t>
      </w:r>
    </w:p>
    <w:p w:rsidR="00D251F0" w:rsidRDefault="00D251F0" w:rsidP="00D251F0">
      <w:pPr>
        <w:rPr>
          <w:rFonts w:eastAsiaTheme="majorEastAsia"/>
          <w:color w:val="2E74B5" w:themeColor="accent1" w:themeShade="BF"/>
          <w:sz w:val="36"/>
          <w:szCs w:val="32"/>
        </w:rPr>
      </w:pPr>
      <w:r>
        <w:br w:type="page"/>
      </w:r>
    </w:p>
    <w:p w:rsidR="00D251F0" w:rsidRDefault="00D251F0" w:rsidP="00D251F0">
      <w:pPr>
        <w:pStyle w:val="Titre1"/>
      </w:pPr>
      <w:proofErr w:type="spellStart"/>
      <w:r>
        <w:lastRenderedPageBreak/>
        <w:t>Sterculia</w:t>
      </w:r>
      <w:proofErr w:type="spellEnd"/>
      <w:r>
        <w:t xml:space="preserve"> </w:t>
      </w:r>
      <w:proofErr w:type="spellStart"/>
      <w:r>
        <w:t>pruriens</w:t>
      </w:r>
      <w:proofErr w:type="spellEnd"/>
    </w:p>
    <w:p w:rsidR="00D251F0" w:rsidRDefault="00D251F0" w:rsidP="00D251F0">
      <w:r w:rsidRPr="00652E41">
        <w:rPr>
          <w:color w:val="FF0000"/>
        </w:rPr>
        <w:t xml:space="preserve">Nous ne disposons pas d’information sur </w:t>
      </w:r>
      <w:proofErr w:type="spellStart"/>
      <w:r w:rsidRPr="00652E41">
        <w:rPr>
          <w:color w:val="FF0000"/>
        </w:rPr>
        <w:t>Sterculia</w:t>
      </w:r>
      <w:proofErr w:type="spellEnd"/>
      <w:r w:rsidRPr="00652E41">
        <w:rPr>
          <w:color w:val="FF0000"/>
        </w:rPr>
        <w:t xml:space="preserve"> </w:t>
      </w:r>
      <w:proofErr w:type="spellStart"/>
      <w:r w:rsidRPr="00652E41">
        <w:rPr>
          <w:color w:val="FF0000"/>
        </w:rPr>
        <w:t>pruriens</w:t>
      </w:r>
      <w:proofErr w:type="spellEnd"/>
      <w:r>
        <w:t>. L’observation de ses graphes nous permet de voir qu’elle semble atteindre la canopée avec une taille maximale de près de 60cm de diamètre.</w:t>
      </w:r>
    </w:p>
    <w:p w:rsidR="00D251F0" w:rsidRDefault="00D251F0" w:rsidP="00D251F0">
      <w:r>
        <w:rPr>
          <w:noProof/>
          <w:lang w:eastAsia="fr-FR"/>
        </w:rPr>
        <w:drawing>
          <wp:inline distT="0" distB="0" distL="0" distR="0" wp14:anchorId="3FBC304D" wp14:editId="3195CF8B">
            <wp:extent cx="4038600" cy="2552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istribution-diamétrique--INRAE-_files/figure-docx/unnamed-chunk-1-2.png"/>
                    <pic:cNvPicPr>
                      <a:picLocks noChangeAspect="1" noChangeArrowheads="1"/>
                    </pic:cNvPicPr>
                  </pic:nvPicPr>
                  <pic:blipFill>
                    <a:blip r:embed="rId9"/>
                    <a:stretch>
                      <a:fillRect/>
                    </a:stretch>
                  </pic:blipFill>
                  <pic:spPr bwMode="auto">
                    <a:xfrm>
                      <a:off x="0" y="0"/>
                      <a:ext cx="4039040" cy="2552978"/>
                    </a:xfrm>
                    <a:prstGeom prst="rect">
                      <a:avLst/>
                    </a:prstGeom>
                    <a:noFill/>
                    <a:ln w="9525">
                      <a:noFill/>
                      <a:headEnd/>
                      <a:tailEnd/>
                    </a:ln>
                  </pic:spPr>
                </pic:pic>
              </a:graphicData>
            </a:graphic>
          </wp:inline>
        </w:drawing>
      </w:r>
    </w:p>
    <w:p w:rsidR="00D251F0" w:rsidRDefault="00D251F0" w:rsidP="00D251F0">
      <w:r>
        <w:rPr>
          <w:noProof/>
          <w:lang w:eastAsia="fr-FR"/>
        </w:rPr>
        <w:drawing>
          <wp:inline distT="0" distB="0" distL="0" distR="0" wp14:anchorId="7407031A" wp14:editId="4C0EF78D">
            <wp:extent cx="4086225" cy="3057525"/>
            <wp:effectExtent l="0" t="0" r="9525" b="9525"/>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Distribution-diamétrique--INRAE-_files/figure-docx/cdf-2.png"/>
                    <pic:cNvPicPr>
                      <a:picLocks noChangeAspect="1" noChangeArrowheads="1"/>
                    </pic:cNvPicPr>
                  </pic:nvPicPr>
                  <pic:blipFill>
                    <a:blip r:embed="rId10"/>
                    <a:stretch>
                      <a:fillRect/>
                    </a:stretch>
                  </pic:blipFill>
                  <pic:spPr bwMode="auto">
                    <a:xfrm>
                      <a:off x="0" y="0"/>
                      <a:ext cx="4086669" cy="3057857"/>
                    </a:xfrm>
                    <a:prstGeom prst="rect">
                      <a:avLst/>
                    </a:prstGeom>
                    <a:noFill/>
                    <a:ln w="9525">
                      <a:noFill/>
                      <a:headEnd/>
                      <a:tailEnd/>
                    </a:ln>
                  </pic:spPr>
                </pic:pic>
              </a:graphicData>
            </a:graphic>
          </wp:inline>
        </w:drawing>
      </w:r>
      <w:r>
        <w:t xml:space="preserve">  </w:t>
      </w:r>
    </w:p>
    <w:p w:rsidR="00D251F0" w:rsidRDefault="00D251F0" w:rsidP="00D251F0">
      <w:r>
        <w:t> </w:t>
      </w:r>
    </w:p>
    <w:p w:rsidR="00D251F0" w:rsidRDefault="00D251F0" w:rsidP="00D251F0">
      <w:pPr>
        <w:rPr>
          <w:rFonts w:eastAsiaTheme="majorEastAsia"/>
          <w:color w:val="2E74B5" w:themeColor="accent1" w:themeShade="BF"/>
          <w:sz w:val="36"/>
          <w:szCs w:val="32"/>
        </w:rPr>
      </w:pPr>
      <w:r>
        <w:br w:type="page"/>
      </w:r>
    </w:p>
    <w:p w:rsidR="00D251F0" w:rsidRDefault="00D251F0" w:rsidP="00D251F0">
      <w:pPr>
        <w:pStyle w:val="Titre1"/>
      </w:pPr>
      <w:proofErr w:type="spellStart"/>
      <w:r>
        <w:lastRenderedPageBreak/>
        <w:t>Goupia</w:t>
      </w:r>
      <w:proofErr w:type="spellEnd"/>
      <w:r>
        <w:t xml:space="preserve"> </w:t>
      </w:r>
      <w:proofErr w:type="spellStart"/>
      <w:r>
        <w:t>glabra</w:t>
      </w:r>
      <w:proofErr w:type="spellEnd"/>
    </w:p>
    <w:p w:rsidR="00D251F0" w:rsidRPr="002D1A39" w:rsidRDefault="00D251F0" w:rsidP="00D251F0">
      <w:pPr>
        <w:rPr>
          <w:b/>
        </w:rPr>
      </w:pPr>
      <w:r>
        <w:t xml:space="preserve">A dire d’expert, </w:t>
      </w:r>
      <w:proofErr w:type="gramStart"/>
      <w:r>
        <w:t>cette espèces</w:t>
      </w:r>
      <w:proofErr w:type="gramEnd"/>
      <w:r>
        <w:t xml:space="preserve"> se développe en </w:t>
      </w:r>
      <w:r w:rsidRPr="00652E41">
        <w:rPr>
          <w:b/>
        </w:rPr>
        <w:t>lumière toute sa vie</w:t>
      </w:r>
      <w:r>
        <w:t xml:space="preserve"> (</w:t>
      </w:r>
      <w:proofErr w:type="spellStart"/>
      <w:r>
        <w:t>Molino</w:t>
      </w:r>
      <w:proofErr w:type="spellEnd"/>
      <w:r>
        <w:t xml:space="preserve">, 2024). Il semblerait qu’il </w:t>
      </w:r>
      <w:r w:rsidRPr="00652E41">
        <w:rPr>
          <w:b/>
        </w:rPr>
        <w:t>ne tolère pas du tout l’ombre</w:t>
      </w:r>
      <w:r>
        <w:t xml:space="preserve"> et </w:t>
      </w:r>
      <w:proofErr w:type="spellStart"/>
      <w:r>
        <w:t>sont</w:t>
      </w:r>
      <w:proofErr w:type="spellEnd"/>
      <w:r>
        <w:t xml:space="preserve"> produit souvent en grand nombre (</w:t>
      </w:r>
      <w:proofErr w:type="spellStart"/>
      <w:r>
        <w:t>Oldeman</w:t>
      </w:r>
      <w:proofErr w:type="spellEnd"/>
      <w:r>
        <w:t xml:space="preserve"> &amp; </w:t>
      </w:r>
      <w:proofErr w:type="spellStart"/>
      <w:r>
        <w:t>Dijk</w:t>
      </w:r>
      <w:proofErr w:type="spellEnd"/>
      <w:r>
        <w:t xml:space="preserve">, 1991). On peut voir sur les graphes que </w:t>
      </w:r>
      <w:proofErr w:type="gramStart"/>
      <w:r>
        <w:t>cette espèces</w:t>
      </w:r>
      <w:proofErr w:type="gramEnd"/>
      <w:r>
        <w:t xml:space="preserve"> dispose d’un grand nombre de </w:t>
      </w:r>
      <w:proofErr w:type="spellStart"/>
      <w:r>
        <w:t>juvénil</w:t>
      </w:r>
      <w:proofErr w:type="spellEnd"/>
      <w:r>
        <w:t xml:space="preserve"> et qu’il peut également atteindre des grands diamètre. Cela semble </w:t>
      </w:r>
      <w:r w:rsidR="00652E41">
        <w:t>coïncider</w:t>
      </w:r>
      <w:r>
        <w:t xml:space="preserve"> avec la littérature. </w:t>
      </w:r>
      <w:r w:rsidR="002D1A39">
        <w:t xml:space="preserve"> </w:t>
      </w:r>
      <w:proofErr w:type="gramStart"/>
      <w:r w:rsidR="002D1A39">
        <w:t>/!\</w:t>
      </w:r>
      <w:proofErr w:type="gramEnd"/>
      <w:r w:rsidR="002D1A39">
        <w:rPr>
          <w:b/>
        </w:rPr>
        <w:t>Erreur</w:t>
      </w:r>
    </w:p>
    <w:p w:rsidR="00D251F0" w:rsidRDefault="00D251F0" w:rsidP="00D251F0">
      <w:r>
        <w:rPr>
          <w:noProof/>
          <w:lang w:eastAsia="fr-FR"/>
        </w:rPr>
        <w:drawing>
          <wp:inline distT="0" distB="0" distL="0" distR="0" wp14:anchorId="1AACF719" wp14:editId="78903712">
            <wp:extent cx="3933825" cy="2809875"/>
            <wp:effectExtent l="0" t="0" r="9525" b="9525"/>
            <wp:docPr id="27" name="Picture"/>
            <wp:cNvGraphicFramePr/>
            <a:graphic xmlns:a="http://schemas.openxmlformats.org/drawingml/2006/main">
              <a:graphicData uri="http://schemas.openxmlformats.org/drawingml/2006/picture">
                <pic:pic xmlns:pic="http://schemas.openxmlformats.org/drawingml/2006/picture">
                  <pic:nvPicPr>
                    <pic:cNvPr id="28" name="Picture" descr="Distribution-diamétrique--INRAE-_files/figure-docx/unnamed-chunk-1-3.png"/>
                    <pic:cNvPicPr>
                      <a:picLocks noChangeAspect="1" noChangeArrowheads="1"/>
                    </pic:cNvPicPr>
                  </pic:nvPicPr>
                  <pic:blipFill>
                    <a:blip r:embed="rId11"/>
                    <a:stretch>
                      <a:fillRect/>
                    </a:stretch>
                  </pic:blipFill>
                  <pic:spPr bwMode="auto">
                    <a:xfrm>
                      <a:off x="0" y="0"/>
                      <a:ext cx="3934253" cy="2810181"/>
                    </a:xfrm>
                    <a:prstGeom prst="rect">
                      <a:avLst/>
                    </a:prstGeom>
                    <a:noFill/>
                    <a:ln w="9525">
                      <a:noFill/>
                      <a:headEnd/>
                      <a:tailEnd/>
                    </a:ln>
                  </pic:spPr>
                </pic:pic>
              </a:graphicData>
            </a:graphic>
          </wp:inline>
        </w:drawing>
      </w:r>
    </w:p>
    <w:p w:rsidR="00D251F0" w:rsidRPr="00D251F0" w:rsidRDefault="00D251F0" w:rsidP="00D251F0">
      <w:r>
        <w:rPr>
          <w:noProof/>
          <w:lang w:eastAsia="fr-FR"/>
        </w:rPr>
        <w:drawing>
          <wp:inline distT="0" distB="0" distL="0" distR="0" wp14:anchorId="7BC5A4EF" wp14:editId="685563AD">
            <wp:extent cx="3914775" cy="2562225"/>
            <wp:effectExtent l="0" t="0" r="9525" b="9525"/>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Distribution-diamétrique--INRAE-_files/figure-docx/cdf-3.png"/>
                    <pic:cNvPicPr>
                      <a:picLocks noChangeAspect="1" noChangeArrowheads="1"/>
                    </pic:cNvPicPr>
                  </pic:nvPicPr>
                  <pic:blipFill>
                    <a:blip r:embed="rId12"/>
                    <a:stretch>
                      <a:fillRect/>
                    </a:stretch>
                  </pic:blipFill>
                  <pic:spPr bwMode="auto">
                    <a:xfrm>
                      <a:off x="0" y="0"/>
                      <a:ext cx="3915201" cy="2562504"/>
                    </a:xfrm>
                    <a:prstGeom prst="rect">
                      <a:avLst/>
                    </a:prstGeom>
                    <a:noFill/>
                    <a:ln w="9525">
                      <a:noFill/>
                      <a:headEnd/>
                      <a:tailEnd/>
                    </a:ln>
                  </pic:spPr>
                </pic:pic>
              </a:graphicData>
            </a:graphic>
          </wp:inline>
        </w:drawing>
      </w:r>
    </w:p>
    <w:p w:rsidR="00D251F0" w:rsidRDefault="00D251F0" w:rsidP="00D251F0"/>
    <w:p w:rsidR="00D251F0" w:rsidRDefault="00D251F0" w:rsidP="00D251F0">
      <w:r>
        <w:t xml:space="preserve">  </w:t>
      </w:r>
    </w:p>
    <w:p w:rsidR="00D251F0" w:rsidRDefault="00D251F0" w:rsidP="00D251F0">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Tachigali</w:t>
      </w:r>
      <w:proofErr w:type="spellEnd"/>
      <w:r>
        <w:t xml:space="preserve"> </w:t>
      </w:r>
      <w:proofErr w:type="spellStart"/>
      <w:r>
        <w:t>melinonii</w:t>
      </w:r>
      <w:proofErr w:type="spellEnd"/>
    </w:p>
    <w:p w:rsidR="00D251F0" w:rsidRDefault="00D251F0" w:rsidP="00D251F0">
      <w:r>
        <w:t xml:space="preserve">A dire d’expert, cette espèce a pour caractéristique de vivre toute </w:t>
      </w:r>
      <w:r w:rsidRPr="00652E41">
        <w:rPr>
          <w:b/>
        </w:rPr>
        <w:t xml:space="preserve">sa vie en pleine </w:t>
      </w:r>
      <w:r w:rsidR="0023575C" w:rsidRPr="00652E41">
        <w:rPr>
          <w:b/>
        </w:rPr>
        <w:t>lumière</w:t>
      </w:r>
      <w:r w:rsidR="0023575C">
        <w:t xml:space="preserve"> (</w:t>
      </w:r>
      <w:proofErr w:type="spellStart"/>
      <w:r w:rsidR="0023575C">
        <w:t>Monlino</w:t>
      </w:r>
      <w:proofErr w:type="spellEnd"/>
      <w:r w:rsidR="0023575C">
        <w:t xml:space="preserve">, 2024) et </w:t>
      </w:r>
      <w:proofErr w:type="spellStart"/>
      <w:r w:rsidR="0023575C">
        <w:t>se</w:t>
      </w:r>
      <w:proofErr w:type="spellEnd"/>
      <w:r w:rsidR="0023575C">
        <w:t xml:space="preserve"> qui se rapproche également de ce qu’on trouve dans la littérature.</w:t>
      </w:r>
    </w:p>
    <w:p w:rsidR="0023575C" w:rsidRDefault="0023575C" w:rsidP="00D251F0">
      <w:r>
        <w:t xml:space="preserve">On peut voir qu’il dispose de quelques individus dans chacune des stages de croissance. On peut voir également à travers les </w:t>
      </w:r>
      <w:proofErr w:type="spellStart"/>
      <w:r>
        <w:t>coubres</w:t>
      </w:r>
      <w:proofErr w:type="spellEnd"/>
      <w:r>
        <w:t xml:space="preserve"> de distributions.</w:t>
      </w:r>
    </w:p>
    <w:p w:rsidR="00D251F0" w:rsidRDefault="00D251F0" w:rsidP="00D251F0">
      <w:r>
        <w:rPr>
          <w:noProof/>
          <w:lang w:eastAsia="fr-FR"/>
        </w:rPr>
        <w:drawing>
          <wp:inline distT="0" distB="0" distL="0" distR="0" wp14:anchorId="627372FA" wp14:editId="020EC5FA">
            <wp:extent cx="3686175" cy="249555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istribution-diamétrique--INRAE-_files/figure-docx/unnamed-chunk-1-4.png"/>
                    <pic:cNvPicPr>
                      <a:picLocks noChangeAspect="1" noChangeArrowheads="1"/>
                    </pic:cNvPicPr>
                  </pic:nvPicPr>
                  <pic:blipFill>
                    <a:blip r:embed="rId13"/>
                    <a:stretch>
                      <a:fillRect/>
                    </a:stretch>
                  </pic:blipFill>
                  <pic:spPr bwMode="auto">
                    <a:xfrm>
                      <a:off x="0" y="0"/>
                      <a:ext cx="3686576" cy="2495821"/>
                    </a:xfrm>
                    <a:prstGeom prst="rect">
                      <a:avLst/>
                    </a:prstGeom>
                    <a:noFill/>
                    <a:ln w="9525">
                      <a:noFill/>
                      <a:headEnd/>
                      <a:tailEnd/>
                    </a:ln>
                  </pic:spPr>
                </pic:pic>
              </a:graphicData>
            </a:graphic>
          </wp:inline>
        </w:drawing>
      </w:r>
    </w:p>
    <w:p w:rsidR="00D251F0" w:rsidRDefault="00D251F0" w:rsidP="00D251F0">
      <w:r>
        <w:t xml:space="preserve">  </w:t>
      </w:r>
      <w:r>
        <w:rPr>
          <w:noProof/>
          <w:lang w:eastAsia="fr-FR"/>
        </w:rPr>
        <w:drawing>
          <wp:inline distT="0" distB="0" distL="0" distR="0" wp14:anchorId="19994E84" wp14:editId="2965D6D3">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istribution-diamétrique--INRAE-_files/figure-docx/cdf-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 w:rsidR="00D251F0" w:rsidRDefault="00D251F0" w:rsidP="00D251F0"/>
    <w:p w:rsidR="00D251F0" w:rsidRDefault="00D251F0" w:rsidP="00D251F0">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Dicorynia</w:t>
      </w:r>
      <w:proofErr w:type="spellEnd"/>
      <w:r>
        <w:t xml:space="preserve"> </w:t>
      </w:r>
      <w:proofErr w:type="spellStart"/>
      <w:r>
        <w:t>guianensis</w:t>
      </w:r>
      <w:proofErr w:type="spellEnd"/>
    </w:p>
    <w:p w:rsidR="0023575C" w:rsidRPr="0023575C" w:rsidRDefault="0023575C" w:rsidP="0023575C">
      <w:r>
        <w:t xml:space="preserve">Cette espèces est </w:t>
      </w:r>
      <w:proofErr w:type="spellStart"/>
      <w:r>
        <w:t>considété</w:t>
      </w:r>
      <w:proofErr w:type="spellEnd"/>
      <w:r>
        <w:t xml:space="preserve"> comme </w:t>
      </w:r>
      <w:r w:rsidRPr="00652E41">
        <w:rPr>
          <w:b/>
        </w:rPr>
        <w:t>tolérante à l’ombre</w:t>
      </w:r>
      <w:r>
        <w:t xml:space="preserve"> </w:t>
      </w:r>
      <w:r>
        <w:fldChar w:fldCharType="begin"/>
      </w:r>
      <w:r>
        <w:instrText xml:space="preserve"> ADDIN ZOTERO_ITEM CSL_CITATION {"citationID":"vd1fYgdP","properties":{"formattedCitation":"(Guitet &amp; Brunaux, 2012; Jesel, 2005)","plainCitation":"(Guitet &amp; Brunaux, 2012; Jesel, 2005)","noteIndex":0},"citationItems":[{"id":90,"uris":["http://zotero.org/users/10657522/items/9XBF5QVS"],"itemData":{"id":90,"type":"report","event-place":"Guyane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id":74,"uris":["http://zotero.org/users/10657522/items/ILKXHB7R"],"itemData":{"id":74,"type":"thesis","abstract":"Dicorynia guianensis Amshoff (Angélique) est un grand arbre de la forêt tropicale humide, endémique du plateau des Guyanes. Ses propriétés technologiques et son abondance dans le peuplement forestier font qu’elle est aujourd’hui la première espèce exploitée pour son bois en Guyane. La gestion de cette ressource exige de pouvoir prédire à long terme le renouvellement et la qualité du stock exploitable. Pour cela, il est nécessaire de mieux cerner les processus écologiques qui déterminent la dynamique de la régénération de l’espèce. Le travail présenté ici est la synthèse d’études menées sur l’écologie de la graine et la démographie de la régénération de D. guianensis en forêt naturelle et exploitée sur le site de Paracou, en Guyane. Trois principaux thèmes de recherche ont été développés. Premièrement, le comportement reproductif et son déterminisme a été analysé à l’échelle de la population et de l’arbre à partir de données phénologiques de la littérature. D. guianensis se reproduit de manière synchrone mais avec un rythme irrégulier. Une chute des températures nocturnes au-dessous de 19.5°C pendant plusieurs jours consécutifs durant la saison sèche est corrélée au déclenchement d’une floraison en masse tous les 2-3 ans, les plus gros arbres se reproduisant plus souvent. Deuxièmement, la production et la prédation des graines ont été étudiées de manière empirique et expérimentale, respectivement dans la couronne et au sol. Dans l’arbre, les principales causes de mortalité des graines sont l’avortement (13-82%), le parasitisme par des insectes (8-54%) principalement exercé par une espèce de longicorne, Lophopoeum carinatulum, et la consommation par des perroquets (0-49%). La mortalité totale (80-99%) varie peu entre arbres, les arbres les plus parasités étant les moins attaqués par les perroquets. La majorité des graines disséminées viables sont dormantes et peuvent persister plus de 24 mois dans le milieu avant de germer. Les graines au sol sont d’abord et principalement consommées par des petits rongeurs (71%) puis attaquées par des insectes (21%) et des champignons (4%). La prédation exercée par les vertébrés est plus forte à proximité des arbres parents. La destruction des graines par les invertébrés montre des variations saisonnières. Troisièmement, la démographie des cohortes de plantules et de juvéniles a été étudiée dans le contexte de l’exploitation. L’inventaire spatialisé des jeunes individus de D. guianensis &lt; 10 cm de diamètre a permis de mettre en évidence un effet des milieux créés par l’exploitation sur l’installation et la démographie de la régénération. Le suivi en mortalité et en croissance a permis d’établir une table de vie de l’espèce dans ces différents milieux. Les connaissances acquises sur l’écologie de la régénération de D. guianensis (irrégularité des fructifications, longévité et survie des graines, plasticité de la régénération vis-à-vis des ouvertures...) ont permis de proposer et de calibrer un modèle de recrutement à partir de la graine intégrant la variabilité spatio-temporelle des processus d’installation, de croissance et de mortalité. Ce modèle constitue le point de départ d’un simulateur de la dynamique des populations de l’espèce.","genre":"These de doctorat","license":"Licence Etalab","publisher":"Institut national agronomique Paris-Grignon (1971-2006)","source":"theses.fr","title":"Ecologie et dynamique de la régénération de Dicorynia guianensis (Caesalpiniaceae) dans une forêt guyanaise","URL":"https://www.theses.fr/2005INAP0008","author":[{"family":"Jesel","given":"Sébastien"}],"contributor":[{"family":"Forget","given":"Pierre-Michel"}],"accessed":{"date-parts":[["2024",2,5]]},"issued":{"date-parts":[["2005",1,1]]}}}],"schema":"https://github.com/citation-style-language/schema/raw/master/csl-citation.json"} </w:instrText>
      </w:r>
      <w:r>
        <w:fldChar w:fldCharType="separate"/>
      </w:r>
      <w:r w:rsidRPr="0023575C">
        <w:t>(Guitet &amp; Brunaux, 2012; Jesel, 2005)</w:t>
      </w:r>
      <w:r>
        <w:fldChar w:fldCharType="end"/>
      </w:r>
      <w:r w:rsidR="00652E41">
        <w:t xml:space="preserve">, </w:t>
      </w:r>
      <w:r w:rsidR="00652E41" w:rsidRPr="00652E41">
        <w:rPr>
          <w:b/>
        </w:rPr>
        <w:t xml:space="preserve">pas autant que le </w:t>
      </w:r>
      <w:proofErr w:type="spellStart"/>
      <w:r w:rsidR="00652E41" w:rsidRPr="00652E41">
        <w:rPr>
          <w:b/>
        </w:rPr>
        <w:t>Vacapou</w:t>
      </w:r>
      <w:proofErr w:type="spellEnd"/>
      <w:r w:rsidR="00652E41">
        <w:t xml:space="preserve"> (dire Giacomo).</w:t>
      </w:r>
      <w:r>
        <w:t xml:space="preserve"> </w:t>
      </w:r>
      <w:r w:rsidR="00652E41" w:rsidRPr="00652E41">
        <w:rPr>
          <w:i/>
        </w:rPr>
        <w:t>Les plantules on les voit aussi en lumière.</w:t>
      </w:r>
      <w:r w:rsidR="00652E41">
        <w:t xml:space="preserve"> </w:t>
      </w:r>
      <w:r>
        <w:t>On peut voir que bien qu’elle dispose à chaque stade de croissance des individus. On la retrouve également dans la canopée en formant des individus pouvant aller jusqu’à 100cm de diamètre.</w:t>
      </w:r>
      <w:r w:rsidR="00001398">
        <w:t xml:space="preserve"> Au niveau de sa </w:t>
      </w:r>
      <w:proofErr w:type="spellStart"/>
      <w:r w:rsidR="00001398">
        <w:t>cdf</w:t>
      </w:r>
      <w:proofErr w:type="spellEnd"/>
      <w:r w:rsidR="00001398">
        <w:t xml:space="preserve"> on peut voir qu’elle a tendance à s’étaler un peu plus.</w:t>
      </w:r>
    </w:p>
    <w:p w:rsidR="00D251F0" w:rsidRDefault="00D251F0" w:rsidP="00D251F0">
      <w:r>
        <w:t xml:space="preserve">  </w:t>
      </w:r>
      <w:r>
        <w:rPr>
          <w:noProof/>
          <w:lang w:eastAsia="fr-FR"/>
        </w:rPr>
        <w:drawing>
          <wp:inline distT="0" distB="0" distL="0" distR="0" wp14:anchorId="63E8D159" wp14:editId="75B41E11">
            <wp:extent cx="3914775" cy="2800350"/>
            <wp:effectExtent l="0" t="0" r="9525"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istribution-diamétrique--INRAE-_files/figure-docx/unnamed-chunk-1-5.png"/>
                    <pic:cNvPicPr>
                      <a:picLocks noChangeAspect="1" noChangeArrowheads="1"/>
                    </pic:cNvPicPr>
                  </pic:nvPicPr>
                  <pic:blipFill>
                    <a:blip r:embed="rId15"/>
                    <a:stretch>
                      <a:fillRect/>
                    </a:stretch>
                  </pic:blipFill>
                  <pic:spPr bwMode="auto">
                    <a:xfrm>
                      <a:off x="0" y="0"/>
                      <a:ext cx="3915201" cy="2800655"/>
                    </a:xfrm>
                    <a:prstGeom prst="rect">
                      <a:avLst/>
                    </a:prstGeom>
                    <a:noFill/>
                    <a:ln w="9525">
                      <a:noFill/>
                      <a:headEnd/>
                      <a:tailEnd/>
                    </a:ln>
                  </pic:spPr>
                </pic:pic>
              </a:graphicData>
            </a:graphic>
          </wp:inline>
        </w:drawing>
      </w:r>
    </w:p>
    <w:p w:rsidR="00D251F0" w:rsidRDefault="00D251F0" w:rsidP="00D251F0"/>
    <w:p w:rsidR="00D251F0" w:rsidRDefault="00D251F0" w:rsidP="00D251F0">
      <w:r>
        <w:rPr>
          <w:noProof/>
          <w:lang w:eastAsia="fr-FR"/>
        </w:rPr>
        <w:drawing>
          <wp:inline distT="0" distB="0" distL="0" distR="0" wp14:anchorId="1C59AFA3" wp14:editId="37B3BFD4">
            <wp:extent cx="3724275" cy="2705100"/>
            <wp:effectExtent l="0" t="0" r="9525"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istribution-diamétrique--INRAE-_files/figure-docx/cdf-5.png"/>
                    <pic:cNvPicPr>
                      <a:picLocks noChangeAspect="1" noChangeArrowheads="1"/>
                    </pic:cNvPicPr>
                  </pic:nvPicPr>
                  <pic:blipFill>
                    <a:blip r:embed="rId16"/>
                    <a:stretch>
                      <a:fillRect/>
                    </a:stretch>
                  </pic:blipFill>
                  <pic:spPr bwMode="auto">
                    <a:xfrm>
                      <a:off x="0" y="0"/>
                      <a:ext cx="3724684" cy="2705397"/>
                    </a:xfrm>
                    <a:prstGeom prst="rect">
                      <a:avLst/>
                    </a:prstGeom>
                    <a:noFill/>
                    <a:ln w="9525">
                      <a:noFill/>
                      <a:headEnd/>
                      <a:tailEnd/>
                    </a:ln>
                  </pic:spPr>
                </pic:pic>
              </a:graphicData>
            </a:graphic>
          </wp:inline>
        </w:drawing>
      </w:r>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Symphonia</w:t>
      </w:r>
      <w:proofErr w:type="spellEnd"/>
      <w:r>
        <w:t xml:space="preserve"> sp.1</w:t>
      </w:r>
    </w:p>
    <w:p w:rsidR="004A752D" w:rsidRPr="004A752D" w:rsidRDefault="004A752D" w:rsidP="004A752D">
      <w:r>
        <w:tab/>
        <w:t xml:space="preserve">Nous disposons que de peu d’information sur cette espèce. </w:t>
      </w:r>
      <w:r w:rsidR="005F6AA9">
        <w:t>Les graphes nous permettent de voir qu’elle dispose d’</w:t>
      </w:r>
      <w:r w:rsidR="00524C59">
        <w:t>énormément</w:t>
      </w:r>
      <w:r w:rsidR="005F6AA9">
        <w:t xml:space="preserve"> de jeunes individus. </w:t>
      </w:r>
      <w:r>
        <w:t>On la retrouve en canopée.</w:t>
      </w:r>
      <w:r w:rsidR="005F6AA9">
        <w:t xml:space="preserve"> Sa distribution </w:t>
      </w:r>
      <w:proofErr w:type="spellStart"/>
      <w:r w:rsidR="005F6AA9">
        <w:t>cdf</w:t>
      </w:r>
      <w:proofErr w:type="spellEnd"/>
      <w:r w:rsidR="005F6AA9">
        <w:t xml:space="preserve"> est également très </w:t>
      </w:r>
      <w:proofErr w:type="spellStart"/>
      <w:r w:rsidR="005F6AA9">
        <w:t>applati</w:t>
      </w:r>
      <w:r w:rsidR="00524C59">
        <w:t>t</w:t>
      </w:r>
      <w:proofErr w:type="spellEnd"/>
      <w:r w:rsidR="00524C59">
        <w:t>.</w:t>
      </w:r>
    </w:p>
    <w:p w:rsidR="00D251F0" w:rsidRDefault="00D251F0" w:rsidP="009E2595">
      <w:r>
        <w:t xml:space="preserve">  </w:t>
      </w:r>
      <w:r>
        <w:rPr>
          <w:noProof/>
          <w:lang w:eastAsia="fr-FR"/>
        </w:rPr>
        <w:drawing>
          <wp:inline distT="0" distB="0" distL="0" distR="0" wp14:anchorId="4E3FC6E8" wp14:editId="7FBE82F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istribution-diamétrique--INRAE-_files/figure-docx/unnamed-chunk-1-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9E2595">
      <w:r>
        <w:rPr>
          <w:noProof/>
          <w:lang w:eastAsia="fr-FR"/>
        </w:rPr>
        <w:drawing>
          <wp:inline distT="0" distB="0" distL="0" distR="0" wp14:anchorId="118CF779" wp14:editId="67FE89FD">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istribution-diamétrique--INRAE-_files/figure-docx/cdf-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Symphonia</w:t>
      </w:r>
      <w:proofErr w:type="spellEnd"/>
      <w:r>
        <w:t xml:space="preserve"> </w:t>
      </w:r>
      <w:proofErr w:type="spellStart"/>
      <w:r>
        <w:t>globulifera</w:t>
      </w:r>
      <w:proofErr w:type="spellEnd"/>
    </w:p>
    <w:p w:rsidR="005F6AA9" w:rsidRPr="00524C59" w:rsidRDefault="005F6AA9" w:rsidP="005F6AA9">
      <w:pPr>
        <w:rPr>
          <w:b/>
        </w:rPr>
      </w:pPr>
      <w:r w:rsidRPr="005F6AA9">
        <w:rPr>
          <w:color w:val="FF0000"/>
        </w:rPr>
        <w:t xml:space="preserve">Nous </w:t>
      </w:r>
      <w:proofErr w:type="spellStart"/>
      <w:r w:rsidRPr="005F6AA9">
        <w:rPr>
          <w:color w:val="FF0000"/>
        </w:rPr>
        <w:t>de</w:t>
      </w:r>
      <w:proofErr w:type="spellEnd"/>
      <w:r w:rsidRPr="005F6AA9">
        <w:rPr>
          <w:color w:val="FF0000"/>
        </w:rPr>
        <w:t xml:space="preserve"> disposons pas d’information sur cette espèce.</w:t>
      </w:r>
      <w:r>
        <w:rPr>
          <w:color w:val="FF0000"/>
        </w:rPr>
        <w:t xml:space="preserve"> N</w:t>
      </w:r>
      <w:r>
        <w:t xml:space="preserve">éanmoins nous pouvons observer que sur notre zone d’étude elle présence pas de grand diamètre et peut d’individus. Nous disposons que de </w:t>
      </w:r>
      <w:r>
        <w:rPr>
          <w:b/>
        </w:rPr>
        <w:t xml:space="preserve">trop peu </w:t>
      </w:r>
      <w:r>
        <w:t xml:space="preserve">d’individus pour pouvoir interpréter la </w:t>
      </w:r>
      <w:proofErr w:type="spellStart"/>
      <w:r>
        <w:t>cdf</w:t>
      </w:r>
      <w:proofErr w:type="spellEnd"/>
      <w:r>
        <w:t>.</w:t>
      </w:r>
      <w:r w:rsidR="00524C59">
        <w:t xml:space="preserve"> </w:t>
      </w:r>
      <w:r w:rsidR="00524C59">
        <w:rPr>
          <w:b/>
        </w:rPr>
        <w:t>Espèce de bas fond (G)</w:t>
      </w:r>
      <w:r w:rsidR="002D1A39">
        <w:rPr>
          <w:b/>
        </w:rPr>
        <w:t>.</w:t>
      </w:r>
    </w:p>
    <w:p w:rsidR="00D251F0" w:rsidRDefault="00D251F0" w:rsidP="009E2595">
      <w:r>
        <w:t xml:space="preserve"> </w:t>
      </w:r>
      <w:r w:rsidR="00004F7E">
        <w:rPr>
          <w:noProof/>
          <w:lang w:eastAsia="fr-FR"/>
        </w:rPr>
        <w:drawing>
          <wp:inline distT="0" distB="0" distL="0" distR="0" wp14:anchorId="1E30B5D1" wp14:editId="4DBBC5C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istribution-diamétrique--INRAE-_files/figure-docx/unnamed-chunk-1-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4E5B11FD" wp14:editId="16CDFED7">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istribution-diamétrique--INRAE-_files/figure-docx/cdf-7.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Pradosia</w:t>
      </w:r>
      <w:proofErr w:type="spellEnd"/>
      <w:r>
        <w:t xml:space="preserve"> </w:t>
      </w:r>
      <w:proofErr w:type="spellStart"/>
      <w:r>
        <w:t>cochlearia</w:t>
      </w:r>
      <w:proofErr w:type="spellEnd"/>
    </w:p>
    <w:p w:rsidR="005F6AA9" w:rsidRPr="005F6AA9" w:rsidRDefault="005F6AA9" w:rsidP="005F6AA9">
      <w:r>
        <w:t xml:space="preserve">D’après nos dire d’expert on peut voir que cette espèce est du </w:t>
      </w:r>
      <w:r w:rsidRPr="00652E41">
        <w:rPr>
          <w:b/>
        </w:rPr>
        <w:t>type émergent</w:t>
      </w:r>
      <w:r>
        <w:t xml:space="preserve">. Elle a tendance à se développer à </w:t>
      </w:r>
      <w:r w:rsidRPr="00652E41">
        <w:rPr>
          <w:b/>
        </w:rPr>
        <w:t xml:space="preserve">l’ombre puis à la lumière au stade adulte </w:t>
      </w:r>
      <w:r>
        <w:t>(</w:t>
      </w:r>
      <w:proofErr w:type="spellStart"/>
      <w:r>
        <w:t>Molilno</w:t>
      </w:r>
      <w:proofErr w:type="spellEnd"/>
      <w:r>
        <w:t xml:space="preserve"> 2024). Sur nos graphiques comme attendue elle présente une grande majorité en juvéniles mais néanmoins elle possède des individus de gros diamètre.</w:t>
      </w:r>
    </w:p>
    <w:p w:rsidR="00D251F0" w:rsidRDefault="00D251F0" w:rsidP="009E2595">
      <w:r>
        <w:t xml:space="preserve"> </w:t>
      </w:r>
      <w:r w:rsidR="00004F7E">
        <w:rPr>
          <w:noProof/>
          <w:lang w:eastAsia="fr-FR"/>
        </w:rPr>
        <w:drawing>
          <wp:inline distT="0" distB="0" distL="0" distR="0" wp14:anchorId="0693D58D" wp14:editId="707424B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istribution-diamétrique--INRAE-_files/figure-docx/unnamed-chunk-1-8.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9E2595" w:rsidRDefault="00004F7E" w:rsidP="009E2595">
      <w:r>
        <w:rPr>
          <w:noProof/>
          <w:lang w:eastAsia="fr-FR"/>
        </w:rPr>
        <w:drawing>
          <wp:inline distT="0" distB="0" distL="0" distR="0" wp14:anchorId="0C46E1F1" wp14:editId="16569BF7">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istribution-diamétrique--INRAE-_files/figure-docx/cdf-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r>
        <w:br w:type="page"/>
      </w:r>
    </w:p>
    <w:p w:rsidR="00D251F0" w:rsidRDefault="00D251F0" w:rsidP="00D251F0">
      <w:pPr>
        <w:pStyle w:val="Titre1"/>
      </w:pPr>
      <w:proofErr w:type="spellStart"/>
      <w:r>
        <w:lastRenderedPageBreak/>
        <w:t>Iryanthera</w:t>
      </w:r>
      <w:proofErr w:type="spellEnd"/>
      <w:r>
        <w:t xml:space="preserve"> </w:t>
      </w:r>
      <w:proofErr w:type="spellStart"/>
      <w:r>
        <w:t>hostmannii</w:t>
      </w:r>
      <w:proofErr w:type="spellEnd"/>
    </w:p>
    <w:p w:rsidR="005F6AA9" w:rsidRPr="005F6AA9" w:rsidRDefault="005F6AA9" w:rsidP="005F6AA9">
      <w:r>
        <w:t xml:space="preserve">Les résultats </w:t>
      </w:r>
      <w:proofErr w:type="spellStart"/>
      <w:r>
        <w:t>coincident</w:t>
      </w:r>
      <w:proofErr w:type="spellEnd"/>
      <w:r>
        <w:t xml:space="preserve"> avec la littérature. </w:t>
      </w:r>
      <w:proofErr w:type="spellStart"/>
      <w:r w:rsidR="00524C59" w:rsidRPr="00524C59">
        <w:rPr>
          <w:b/>
        </w:rPr>
        <w:t>Gambling</w:t>
      </w:r>
      <w:proofErr w:type="spellEnd"/>
      <w:r w:rsidR="00524C59" w:rsidRPr="00524C59">
        <w:rPr>
          <w:b/>
        </w:rPr>
        <w:t xml:space="preserve"> </w:t>
      </w:r>
      <w:proofErr w:type="spellStart"/>
      <w:r w:rsidR="00524C59" w:rsidRPr="00524C59">
        <w:rPr>
          <w:b/>
        </w:rPr>
        <w:t>strugglers</w:t>
      </w:r>
      <w:proofErr w:type="spellEnd"/>
      <w:r w:rsidR="00524C59">
        <w:t xml:space="preserve"> selon </w:t>
      </w:r>
      <w:proofErr w:type="spellStart"/>
      <w:r w:rsidR="00524C59">
        <w:t>Oldman</w:t>
      </w:r>
      <w:proofErr w:type="spellEnd"/>
      <w:r w:rsidR="00524C59">
        <w:t xml:space="preserve">, </w:t>
      </w:r>
      <w:proofErr w:type="spellStart"/>
      <w:r w:rsidR="00524C59">
        <w:t>cad</w:t>
      </w:r>
      <w:proofErr w:type="spellEnd"/>
      <w:r w:rsidR="00524C59">
        <w:t xml:space="preserve"> qu’elle commence en plantule à l’ombre qui va en </w:t>
      </w:r>
      <w:proofErr w:type="spellStart"/>
      <w:r w:rsidR="00524C59">
        <w:t>saplings</w:t>
      </w:r>
      <w:proofErr w:type="spellEnd"/>
      <w:r w:rsidR="00524C59">
        <w:t xml:space="preserve"> à la lumière qui par la suite retourne en étant adulte. </w:t>
      </w:r>
      <w:r>
        <w:t>Cette espèce dispose d’un</w:t>
      </w:r>
      <w:r w:rsidR="00094272">
        <w:t xml:space="preserve"> très </w:t>
      </w:r>
      <w:r w:rsidR="00524C59">
        <w:t xml:space="preserve">grand nombre de </w:t>
      </w:r>
      <w:proofErr w:type="spellStart"/>
      <w:r w:rsidR="00524C59">
        <w:t>sap</w:t>
      </w:r>
      <w:r w:rsidR="00094272">
        <w:t>lings</w:t>
      </w:r>
      <w:proofErr w:type="spellEnd"/>
      <w:r w:rsidR="00094272">
        <w:t xml:space="preserve"> et quasiment </w:t>
      </w:r>
      <w:proofErr w:type="spellStart"/>
      <w:r w:rsidR="00094272">
        <w:t>psa</w:t>
      </w:r>
      <w:proofErr w:type="spellEnd"/>
      <w:r w:rsidR="00094272">
        <w:t xml:space="preserve"> de gros diamètre </w:t>
      </w:r>
      <w:r w:rsidR="00094272">
        <w:fldChar w:fldCharType="begin"/>
      </w:r>
      <w:r w:rsidR="00094272">
        <w:instrText xml:space="preserve"> ADDIN ZOTERO_ITEM CSL_CITATION {"citationID":"k2ku0CLa","properties":{"formattedCitation":"(Oldeman &amp; Dijk, 1991)","plainCitation":"(Oldeman &amp; Dijk, 1991)","noteIndex":0},"citationItems":[{"id":63,"uris":["http://zotero.org/users/10657522/items/TCKT4ZMG"],"itemData":{"id":63,"type":"chapter","container-title":"Rain forest regeneration and management","ISBN":"978-92-3-102647-8","language":"English","page":"21-65","source":"research.wur.nl","title":"Diagnosis of the temperament of tropical rain forest trees.","URL":"https://research.wur.nl/en/publications/diagnosis-of-the-temperament-of-tropical-rain-forest-trees","volume":"6","author":[{"family":"Oldeman","given":"R. a. A."},{"family":"Dijk","given":"J.","dropping-particle":"van"}],"accessed":{"date-parts":[["2024",3,5]]},"issued":{"date-parts":[["1991"]]}}}],"schema":"https://github.com/citation-style-language/schema/raw/master/csl-citation.json"} </w:instrText>
      </w:r>
      <w:r w:rsidR="00094272">
        <w:fldChar w:fldCharType="separate"/>
      </w:r>
      <w:r w:rsidR="00094272" w:rsidRPr="00094272">
        <w:t>(Oldeman &amp; Dijk, 1991)</w:t>
      </w:r>
      <w:r w:rsidR="00094272">
        <w:fldChar w:fldCharType="end"/>
      </w:r>
      <w:r w:rsidR="00524C59">
        <w:t>.</w:t>
      </w:r>
    </w:p>
    <w:p w:rsidR="00004F7E" w:rsidRDefault="00004F7E" w:rsidP="00004F7E">
      <w:r>
        <w:rPr>
          <w:noProof/>
          <w:lang w:eastAsia="fr-FR"/>
        </w:rPr>
        <w:drawing>
          <wp:inline distT="0" distB="0" distL="0" distR="0" wp14:anchorId="76D6A884" wp14:editId="240BCE0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istribution-diamétrique--INRAE-_files/figure-docx/unnamed-chunk-1-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rsidP="00004F7E">
      <w:r>
        <w:rPr>
          <w:noProof/>
          <w:lang w:eastAsia="fr-FR"/>
        </w:rPr>
        <w:drawing>
          <wp:inline distT="0" distB="0" distL="0" distR="0" wp14:anchorId="47ED30BF" wp14:editId="7173D8F7">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istribution-diamétrique--INRAE-_files/figure-docx/cdf-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p w:rsidR="00D251F0" w:rsidRDefault="00D251F0" w:rsidP="00D251F0">
      <w:pPr>
        <w:pStyle w:val="Titre1"/>
      </w:pPr>
      <w:r>
        <w:t xml:space="preserve">Virola </w:t>
      </w:r>
      <w:proofErr w:type="spellStart"/>
      <w:r>
        <w:t>michelii</w:t>
      </w:r>
      <w:proofErr w:type="spellEnd"/>
    </w:p>
    <w:p w:rsidR="00094272" w:rsidRPr="00094272" w:rsidRDefault="00524C59" w:rsidP="00094272">
      <w:r>
        <w:t xml:space="preserve">Ne </w:t>
      </w:r>
      <w:proofErr w:type="spellStart"/>
      <w:r>
        <w:t>coincide</w:t>
      </w:r>
      <w:proofErr w:type="spellEnd"/>
      <w:r>
        <w:t xml:space="preserve"> </w:t>
      </w:r>
      <w:proofErr w:type="spellStart"/>
      <w:r>
        <w:t>par</w:t>
      </w:r>
      <w:proofErr w:type="spellEnd"/>
      <w:r>
        <w:t xml:space="preserve"> avec nos attentes </w:t>
      </w:r>
      <w:proofErr w:type="spellStart"/>
      <w:r>
        <w:t>cad</w:t>
      </w:r>
      <w:proofErr w:type="spellEnd"/>
      <w:r>
        <w:t xml:space="preserve"> héliophile, </w:t>
      </w:r>
      <w:proofErr w:type="spellStart"/>
      <w:r>
        <w:t>canopé</w:t>
      </w:r>
      <w:proofErr w:type="spellEnd"/>
      <w:r>
        <w:t xml:space="preserve"> étage supérieur.</w:t>
      </w:r>
      <w:r w:rsidR="00094272">
        <w:t xml:space="preserve"> Cette espèce dispose d’un très grand nombre de jeunes recru</w:t>
      </w:r>
      <w:r w:rsidR="005C2614">
        <w:t>s</w:t>
      </w:r>
      <w:r w:rsidR="00094272">
        <w:t>.</w:t>
      </w:r>
    </w:p>
    <w:p w:rsidR="00D251F0" w:rsidRDefault="00D251F0" w:rsidP="009E2595">
      <w:r>
        <w:t xml:space="preserve">  </w:t>
      </w:r>
      <w:r w:rsidR="00004F7E">
        <w:rPr>
          <w:noProof/>
          <w:lang w:eastAsia="fr-FR"/>
        </w:rPr>
        <w:drawing>
          <wp:inline distT="0" distB="0" distL="0" distR="0" wp14:anchorId="42C6FD9A" wp14:editId="66FBE7D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istribution-diamétrique--INRAE-_files/figure-docx/unnamed-chunk-1-1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00004F7E">
        <w:rPr>
          <w:noProof/>
          <w:lang w:eastAsia="fr-FR"/>
        </w:rPr>
        <w:drawing>
          <wp:inline distT="0" distB="0" distL="0" distR="0" wp14:anchorId="7C87E3C1" wp14:editId="043957EF">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istribution-diamétrique--INRAE-_files/figure-docx/cdf-1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Iryanthera</w:t>
      </w:r>
      <w:proofErr w:type="spellEnd"/>
      <w:r>
        <w:t xml:space="preserve"> </w:t>
      </w:r>
      <w:proofErr w:type="spellStart"/>
      <w:r>
        <w:t>sagotiana</w:t>
      </w:r>
      <w:proofErr w:type="spellEnd"/>
    </w:p>
    <w:p w:rsidR="005C2614" w:rsidRPr="005C2614" w:rsidRDefault="005C2614" w:rsidP="005C2614">
      <w:r>
        <w:t xml:space="preserve">Dans notre zone d’étude cette espèces présente des individus à chaque classe de diamètre jusqu’à 30 de diamètre. La littérature nous informe qu’elle se situe généralement en </w:t>
      </w:r>
      <w:r w:rsidRPr="00524C59">
        <w:rPr>
          <w:b/>
        </w:rPr>
        <w:t>étage inférieur et est tolérante à l’ombre</w:t>
      </w:r>
      <w:r>
        <w:t xml:space="preserve"> </w:t>
      </w:r>
      <w:r>
        <w:fldChar w:fldCharType="begin"/>
      </w:r>
      <w:r>
        <w:instrText xml:space="preserve"> ADDIN ZOTERO_ITEM CSL_CITATION {"citationID":"np3jQFFZ","properties":{"formattedCitation":"(Moreno, 2022)","plainCitation":"(Moreno, 2022)","noteIndex":0},"citationItems":[{"id":83,"uris":["http://zotero.org/users/10657522/items/3F6K5GNF"],"itemData":{"id":83,"type":"report","abstract":"En forêt tropicale humide en Guyane française, les facteurs à l’origine de la distribution des espèces de sous-bois sont peu connus et ont été étudiés de manière indirecte. Cette étude s’attache à apporter des connaissances sur la distribution d’espèces d’arbres et d’arbustes de cette strate de sous-bois en fonction de variables abiotiques (la lumière, l’engorgement en eau, la pente), et d’une variable biotique (la surface terrière, utilisé comme proxy de la compétition). Elle porte sur 25 espèces les plus communes de la classe de diamètre de 1 à 10 cm de DBH recensées dans une zone d’étude de 1,44ha en Guyane française. Les variables environnementales ont été obtenues à partir du MNT et de LiDAR aéroporté. Les modèles linéaires généralisés utilisés se basent sur des abondances d’espèces et des moyennes des variables environnementales par quadrat de 10x10m. Les espèces sont distribuées principalement selon un gradient de lumière, qui est l’effet le plus important parmi ceux qui ont été mesurés, donnant les plus forts coefficients dans les modèles et le plus de résultats significatifs (soit pour 16 espèces sur 25). L’engorgement, puis la pente, ont des effets moins importants et donnent des résultats significatifs pour 7 et 9 espèces respectivement. La surface terrière a peu d’effet et donne des résultats significatifs pour seulement 2 espèces. Les résultats concordent globalement avec la bibliographie, mais des différences existent, notamment sur des différences dans les conditions d’obtention des variables environnementales.","event-place":"Guyane Française","genre":"Mémoire","language":"Français","page":"40","publisher":"Université de Montpellier","publisher-place":"Guyane Française","title":"Auto-écologie des espèces d’arbres et arbustes de sous- bois en relation avec les caractéristiques topographiques et la disponibilité en lumière en Guyane française","author":[{"family":"Moreno","given":"Lisa"}],"contributor":[{"family":"Derroire","given":"Géraldine"},{"family":"Sellan","given":"Giacomo"},{"family":"Vincent","given":"Grégoire"}],"issued":{"date-parts":[["2022",8,22]]}}}],"schema":"https://github.com/citation-style-language/schema/raw/master/csl-citation.json"} </w:instrText>
      </w:r>
      <w:r>
        <w:fldChar w:fldCharType="separate"/>
      </w:r>
      <w:r w:rsidRPr="005C2614">
        <w:t>(Moreno, 2022)</w:t>
      </w:r>
      <w:r>
        <w:fldChar w:fldCharType="end"/>
      </w:r>
      <w:r>
        <w:t xml:space="preserve">. Au niveau de la distribution </w:t>
      </w:r>
      <w:proofErr w:type="spellStart"/>
      <w:r>
        <w:t>diamétrique</w:t>
      </w:r>
      <w:proofErr w:type="spellEnd"/>
      <w:r>
        <w:t xml:space="preserve"> on peut voir </w:t>
      </w:r>
      <w:proofErr w:type="gramStart"/>
      <w:r>
        <w:t>que elle</w:t>
      </w:r>
      <w:proofErr w:type="gramEnd"/>
      <w:r>
        <w:t xml:space="preserve"> bénéficie d’une grande quantité de jeunes individus.</w:t>
      </w:r>
    </w:p>
    <w:p w:rsidR="00004F7E" w:rsidRDefault="00004F7E" w:rsidP="00004F7E">
      <w:r>
        <w:rPr>
          <w:noProof/>
          <w:lang w:eastAsia="fr-FR"/>
        </w:rPr>
        <w:drawing>
          <wp:inline distT="0" distB="0" distL="0" distR="0" wp14:anchorId="31C7D1CC" wp14:editId="59C848F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istribution-diamétrique--INRAE-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125F1529" wp14:editId="64BB807D">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Distribution-diamétrique--INRAE-_files/figure-docx/cdf-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Recordoxylon</w:t>
      </w:r>
      <w:proofErr w:type="spellEnd"/>
      <w:r>
        <w:t xml:space="preserve"> </w:t>
      </w:r>
      <w:proofErr w:type="spellStart"/>
      <w:r>
        <w:t>speciosum</w:t>
      </w:r>
      <w:proofErr w:type="spellEnd"/>
    </w:p>
    <w:p w:rsidR="005C2614" w:rsidRPr="005C2614" w:rsidRDefault="005C2614" w:rsidP="005C2614">
      <w:r w:rsidRPr="005C2614">
        <w:rPr>
          <w:color w:val="FF0000"/>
        </w:rPr>
        <w:t>Nous ne disposons pas d’information sur cette espèce.</w:t>
      </w:r>
      <w:r>
        <w:t xml:space="preserve"> On peut voir qu’elle possède que très peu d’individus sur notre zone d’observation. On peut voir que l’espèces dispose de gros diamètre (&gt;50cm DBH).</w:t>
      </w:r>
      <w:r w:rsidR="00FF143F">
        <w:t xml:space="preserve"> Ne régénère pas en </w:t>
      </w:r>
      <w:proofErr w:type="spellStart"/>
      <w:r w:rsidR="00FF143F">
        <w:t>sous bois</w:t>
      </w:r>
      <w:proofErr w:type="spellEnd"/>
      <w:r w:rsidR="00FF143F">
        <w:t xml:space="preserve"> (G) suppose qu’elle ne supporte pas l’ombre en revanche, on la retrouve souvent en bord de route.</w:t>
      </w:r>
    </w:p>
    <w:p w:rsidR="00004F7E" w:rsidRDefault="00004F7E" w:rsidP="00004F7E">
      <w:r>
        <w:rPr>
          <w:noProof/>
          <w:lang w:eastAsia="fr-FR"/>
        </w:rPr>
        <w:drawing>
          <wp:inline distT="0" distB="0" distL="0" distR="0" wp14:anchorId="7B4795B7" wp14:editId="04478A5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istribution-diamétrique--INRAE-_files/figure-docx/unnamed-chunk-1-1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D251F0" w:rsidRDefault="00004F7E" w:rsidP="009E2595">
      <w:r>
        <w:rPr>
          <w:noProof/>
          <w:lang w:eastAsia="fr-FR"/>
        </w:rPr>
        <w:drawing>
          <wp:inline distT="0" distB="0" distL="0" distR="0" wp14:anchorId="15A372AE" wp14:editId="3A73285F">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Distribution-diamétrique--INRAE-_files/figure-docx/cdf-1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004F7E" w:rsidRDefault="00004F7E">
      <w:pPr>
        <w:ind w:firstLine="0"/>
        <w:jc w:val="left"/>
        <w:rPr>
          <w:rFonts w:eastAsiaTheme="majorEastAsia"/>
          <w:b/>
          <w:i/>
          <w:color w:val="2E74B5" w:themeColor="accent1" w:themeShade="BF"/>
          <w:sz w:val="36"/>
          <w:szCs w:val="32"/>
        </w:rPr>
      </w:pPr>
      <w:r>
        <w:lastRenderedPageBreak/>
        <w:br w:type="page"/>
      </w:r>
    </w:p>
    <w:p w:rsidR="00287007" w:rsidRDefault="00D251F0" w:rsidP="00287007">
      <w:pPr>
        <w:pStyle w:val="Titre1"/>
      </w:pPr>
      <w:proofErr w:type="spellStart"/>
      <w:r>
        <w:lastRenderedPageBreak/>
        <w:t>Eperua</w:t>
      </w:r>
      <w:proofErr w:type="spellEnd"/>
      <w:r>
        <w:t xml:space="preserve"> </w:t>
      </w:r>
      <w:proofErr w:type="spellStart"/>
      <w:r>
        <w:t>falcata</w:t>
      </w:r>
      <w:proofErr w:type="spellEnd"/>
    </w:p>
    <w:p w:rsidR="00FF143F" w:rsidRDefault="00287007" w:rsidP="00D30573">
      <w:pPr>
        <w:rPr>
          <w:noProof/>
          <w:lang w:eastAsia="fr-FR"/>
        </w:rPr>
      </w:pPr>
      <w:r>
        <w:t xml:space="preserve">L’étude de cette espèce présente peu d’individus. On note </w:t>
      </w:r>
      <w:proofErr w:type="spellStart"/>
      <w:r>
        <w:t>néamoins</w:t>
      </w:r>
      <w:proofErr w:type="spellEnd"/>
      <w:r>
        <w:t xml:space="preserve"> sa présence dans quasiment tous les stades</w:t>
      </w:r>
      <w:r w:rsidR="00D30573">
        <w:t xml:space="preserve"> de croissance, au point que sa </w:t>
      </w:r>
      <w:proofErr w:type="spellStart"/>
      <w:r w:rsidR="00D30573">
        <w:t>cdf</w:t>
      </w:r>
      <w:proofErr w:type="spellEnd"/>
      <w:r w:rsidR="00D30573">
        <w:t xml:space="preserve"> nous présente une pente moins</w:t>
      </w:r>
      <w:r w:rsidR="00FF143F">
        <w:t> </w:t>
      </w:r>
      <w:r w:rsidR="00D30573">
        <w:t>prononcée.</w:t>
      </w:r>
      <w:r w:rsidR="00FF143F">
        <w:t xml:space="preserve"> (G)</w:t>
      </w:r>
      <w:r w:rsidR="00FF143F" w:rsidRPr="00FF143F">
        <w:rPr>
          <w:noProof/>
          <w:lang w:eastAsia="fr-FR"/>
        </w:rPr>
        <w:t xml:space="preserve"> </w:t>
      </w:r>
      <w:r w:rsidR="00FF143F">
        <w:rPr>
          <w:noProof/>
          <w:lang w:eastAsia="fr-FR"/>
        </w:rPr>
        <w:t>Pense que l’espèce aime les bas-fonds.</w:t>
      </w:r>
    </w:p>
    <w:p w:rsidR="00004F7E" w:rsidRDefault="00FF143F" w:rsidP="00D30573">
      <w:r>
        <w:rPr>
          <w:noProof/>
          <w:lang w:eastAsia="fr-FR"/>
        </w:rPr>
        <w:drawing>
          <wp:inline distT="0" distB="0" distL="0" distR="0" wp14:anchorId="4A670E5C" wp14:editId="6E9EBAFB">
            <wp:extent cx="4038600" cy="2733675"/>
            <wp:effectExtent l="0" t="0" r="0" b="9525"/>
            <wp:docPr id="60" name="Picture"/>
            <wp:cNvGraphicFramePr/>
            <a:graphic xmlns:a="http://schemas.openxmlformats.org/drawingml/2006/main">
              <a:graphicData uri="http://schemas.openxmlformats.org/drawingml/2006/picture">
                <pic:pic xmlns:pic="http://schemas.openxmlformats.org/drawingml/2006/picture">
                  <pic:nvPicPr>
                    <pic:cNvPr id="61" name="Picture" descr="Distribution-diamétrique--INRAE-_files/figure-docx/unnamed-chunk-1-14.png"/>
                    <pic:cNvPicPr>
                      <a:picLocks noChangeAspect="1" noChangeArrowheads="1"/>
                    </pic:cNvPicPr>
                  </pic:nvPicPr>
                  <pic:blipFill>
                    <a:blip r:embed="rId31"/>
                    <a:stretch>
                      <a:fillRect/>
                    </a:stretch>
                  </pic:blipFill>
                  <pic:spPr bwMode="auto">
                    <a:xfrm>
                      <a:off x="0" y="0"/>
                      <a:ext cx="4038600" cy="2733675"/>
                    </a:xfrm>
                    <a:prstGeom prst="rect">
                      <a:avLst/>
                    </a:prstGeom>
                    <a:noFill/>
                    <a:ln w="9525">
                      <a:noFill/>
                      <a:headEnd/>
                      <a:tailEnd/>
                    </a:ln>
                  </pic:spPr>
                </pic:pic>
              </a:graphicData>
            </a:graphic>
          </wp:inline>
        </w:drawing>
      </w:r>
      <w:r w:rsidR="00D30573" w:rsidRPr="00D30573">
        <w:rPr>
          <w:noProof/>
          <w:lang w:eastAsia="fr-FR"/>
        </w:rPr>
        <w:t xml:space="preserve"> </w:t>
      </w:r>
    </w:p>
    <w:p w:rsidR="00004F7E" w:rsidRPr="00004F7E" w:rsidRDefault="00004F7E" w:rsidP="00004F7E">
      <w:r>
        <w:rPr>
          <w:noProof/>
          <w:lang w:eastAsia="fr-FR"/>
        </w:rPr>
        <w:drawing>
          <wp:inline distT="0" distB="0" distL="0" distR="0" wp14:anchorId="176C03E7" wp14:editId="25DE65C6">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Distribution-diamétrique--INRAE-_files/figure-docx/cdf-1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30573" w:rsidRDefault="00D30573">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Didymopanax</w:t>
      </w:r>
      <w:proofErr w:type="spellEnd"/>
      <w:r>
        <w:t xml:space="preserve"> </w:t>
      </w:r>
      <w:proofErr w:type="spellStart"/>
      <w:r>
        <w:t>decaphyllus</w:t>
      </w:r>
      <w:proofErr w:type="spellEnd"/>
    </w:p>
    <w:p w:rsidR="00D30573" w:rsidRPr="00D30573" w:rsidRDefault="00D30573" w:rsidP="00D30573">
      <w:r>
        <w:t xml:space="preserve">D’après les dire d’expert, cette </w:t>
      </w:r>
      <w:proofErr w:type="spellStart"/>
      <w:r>
        <w:t>epsèce</w:t>
      </w:r>
      <w:proofErr w:type="spellEnd"/>
      <w:r>
        <w:t xml:space="preserve"> à pour caractéristique de vivre en </w:t>
      </w:r>
      <w:r w:rsidRPr="00FF143F">
        <w:rPr>
          <w:b/>
        </w:rPr>
        <w:t>lumière toute leur vie</w:t>
      </w:r>
      <w:r>
        <w:t>. On peut voir ici qu’elle dispose globalement de faible effectif. On note la présence de gros diamètre pour cette espèce.</w:t>
      </w:r>
    </w:p>
    <w:p w:rsidR="00D251F0" w:rsidRDefault="00D251F0" w:rsidP="00004F7E">
      <w:r>
        <w:t xml:space="preserve">   </w:t>
      </w:r>
      <w:r w:rsidR="00004F7E">
        <w:rPr>
          <w:noProof/>
          <w:lang w:eastAsia="fr-FR"/>
        </w:rPr>
        <w:drawing>
          <wp:inline distT="0" distB="0" distL="0" distR="0" wp14:anchorId="28E4367A" wp14:editId="560ABA3D">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istribution-diamétrique--INRAE-_files/figure-docx/unnamed-chunk-1-1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rsidP="00004F7E">
      <w:r>
        <w:rPr>
          <w:noProof/>
          <w:lang w:eastAsia="fr-FR"/>
        </w:rPr>
        <w:drawing>
          <wp:inline distT="0" distB="0" distL="0" distR="0" wp14:anchorId="744D0501" wp14:editId="49C5DA58">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Distribution-diamétrique--INRAE-_files/figure-docx/cdf-1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004F7E">
      <w:pPr>
        <w:pStyle w:val="Titre1"/>
        <w:ind w:firstLine="0"/>
      </w:pPr>
      <w:proofErr w:type="spellStart"/>
      <w:r>
        <w:lastRenderedPageBreak/>
        <w:t>Qualea</w:t>
      </w:r>
      <w:proofErr w:type="spellEnd"/>
      <w:r>
        <w:t xml:space="preserve"> </w:t>
      </w:r>
      <w:proofErr w:type="spellStart"/>
      <w:r>
        <w:t>rosea</w:t>
      </w:r>
      <w:proofErr w:type="spellEnd"/>
    </w:p>
    <w:p w:rsidR="00D30573" w:rsidRPr="00FF143F" w:rsidRDefault="00D30573" w:rsidP="00D30573">
      <w:pPr>
        <w:rPr>
          <w:b/>
        </w:rPr>
      </w:pPr>
      <w:r>
        <w:t xml:space="preserve">La </w:t>
      </w:r>
      <w:proofErr w:type="spellStart"/>
      <w:r>
        <w:t>litérature</w:t>
      </w:r>
      <w:proofErr w:type="spellEnd"/>
      <w:r>
        <w:t xml:space="preserve"> nous indique qu’elle est une espèce qui </w:t>
      </w:r>
      <w:r w:rsidRPr="00FF143F">
        <w:rPr>
          <w:b/>
        </w:rPr>
        <w:t>tolère l’ombre et qui est émergente en canopée</w:t>
      </w:r>
      <w:r>
        <w:t xml:space="preserve"> </w:t>
      </w:r>
      <w:r>
        <w:fldChar w:fldCharType="begin"/>
      </w:r>
      <w:r>
        <w:instrText xml:space="preserve"> ADDIN ZOTERO_ITEM CSL_CITATION {"citationID":"cG3esrqd","properties":{"formattedCitation":"(Guitet &amp; Brunaux, 2012)","plainCitation":"(Guitet &amp; Brunaux, 2012)","noteIndex":0},"citationItems":[{"id":90,"uris":["http://zotero.org/users/10657522/items/9XBF5QVS"],"itemData":{"id":90,"type":"report","event-place":"Guyane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schema":"https://github.com/citation-style-language/schema/raw/master/csl-citation.json"} </w:instrText>
      </w:r>
      <w:r>
        <w:fldChar w:fldCharType="separate"/>
      </w:r>
      <w:r w:rsidRPr="00D30573">
        <w:t>(Guitet &amp; Brunaux, 2012)</w:t>
      </w:r>
      <w:r>
        <w:fldChar w:fldCharType="end"/>
      </w:r>
      <w:r>
        <w:t>.</w:t>
      </w:r>
      <w:bookmarkStart w:id="0" w:name="_GoBack"/>
      <w:bookmarkEnd w:id="0"/>
      <w:r>
        <w:t xml:space="preserve">. </w:t>
      </w:r>
      <w:r w:rsidR="002D1A39">
        <w:rPr>
          <w:b/>
          <w:color w:val="FF0000"/>
          <w:highlight w:val="yellow"/>
        </w:rPr>
        <w:t>Attention car il a un comportement que..</w:t>
      </w:r>
      <w:r w:rsidR="00FF143F" w:rsidRPr="00FF143F">
        <w:rPr>
          <w:b/>
          <w:color w:val="FF0000"/>
          <w:highlight w:val="yellow"/>
        </w:rPr>
        <w:t>.</w:t>
      </w:r>
      <w:r w:rsidR="002D1A39">
        <w:rPr>
          <w:b/>
          <w:color w:val="FF0000"/>
        </w:rPr>
        <w:t xml:space="preserve"> Revoir commentaire de Thomas </w:t>
      </w:r>
      <w:proofErr w:type="spellStart"/>
      <w:r w:rsidR="002D1A39">
        <w:rPr>
          <w:b/>
          <w:color w:val="FF0000"/>
        </w:rPr>
        <w:t>Gaquiert</w:t>
      </w:r>
      <w:proofErr w:type="spellEnd"/>
      <w:r w:rsidR="002D1A39">
        <w:rPr>
          <w:b/>
          <w:color w:val="FF0000"/>
        </w:rPr>
        <w:t>.</w:t>
      </w:r>
    </w:p>
    <w:p w:rsidR="00004F7E" w:rsidRDefault="00004F7E" w:rsidP="00004F7E">
      <w:r>
        <w:rPr>
          <w:noProof/>
          <w:lang w:eastAsia="fr-FR"/>
        </w:rPr>
        <w:drawing>
          <wp:inline distT="0" distB="0" distL="0" distR="0" wp14:anchorId="30FB943F" wp14:editId="3E72F972">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istribution-diamétrique--INRAE-_files/figure-docx/unnamed-chunk-1-16.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2492DBA6" wp14:editId="31013DC1">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Distribution-diamétrique--INRAE-_files/figure-docx/cdf-1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Sextonia</w:t>
      </w:r>
      <w:proofErr w:type="spellEnd"/>
      <w:r>
        <w:t xml:space="preserve"> </w:t>
      </w:r>
      <w:proofErr w:type="spellStart"/>
      <w:r>
        <w:t>rubra</w:t>
      </w:r>
      <w:proofErr w:type="spellEnd"/>
    </w:p>
    <w:p w:rsidR="00D30573" w:rsidRPr="00D30573" w:rsidRDefault="00D30573" w:rsidP="00D30573">
      <w:r w:rsidRPr="00FF143F">
        <w:rPr>
          <w:color w:val="FF0000"/>
        </w:rPr>
        <w:t xml:space="preserve">Nous ne </w:t>
      </w:r>
      <w:r w:rsidR="00F87B0C" w:rsidRPr="00FF143F">
        <w:rPr>
          <w:color w:val="FF0000"/>
        </w:rPr>
        <w:t xml:space="preserve">disposons pas d’information sur cette espèce. </w:t>
      </w:r>
      <w:r w:rsidR="00F87B0C">
        <w:t xml:space="preserve">Nos observations </w:t>
      </w:r>
      <w:proofErr w:type="gramStart"/>
      <w:r w:rsidR="00F87B0C">
        <w:t>montre</w:t>
      </w:r>
      <w:proofErr w:type="gramEnd"/>
      <w:r w:rsidR="00F87B0C">
        <w:t xml:space="preserve"> que c’</w:t>
      </w:r>
      <w:r w:rsidR="00857686">
        <w:t>est une espèce qui possède une certaine quantité d’individus dans ses jeunes stades. Il présente également des individus dans un peu tous ses stades de développement.</w:t>
      </w:r>
      <w:r w:rsidR="00FF143F">
        <w:t xml:space="preserve"> (G) Observe que ça régénère souvent en chablis. Moins tolérante à l’ombre que le Wacapou </w:t>
      </w:r>
      <w:r w:rsidR="00FF143F" w:rsidRPr="00FF143F">
        <w:rPr>
          <w:color w:val="FF0000"/>
          <w:highlight w:val="yellow"/>
        </w:rPr>
        <w:t xml:space="preserve">Pourquoi pas </w:t>
      </w:r>
      <w:proofErr w:type="spellStart"/>
      <w:r w:rsidR="00FF143F" w:rsidRPr="00FF143F">
        <w:rPr>
          <w:color w:val="FF0000"/>
          <w:highlight w:val="yellow"/>
        </w:rPr>
        <w:t>bcp</w:t>
      </w:r>
      <w:proofErr w:type="spellEnd"/>
      <w:r w:rsidR="00FF143F" w:rsidRPr="00FF143F">
        <w:rPr>
          <w:color w:val="FF0000"/>
          <w:highlight w:val="yellow"/>
        </w:rPr>
        <w:t xml:space="preserve"> de gros à revoir.</w:t>
      </w:r>
    </w:p>
    <w:p w:rsidR="00004F7E" w:rsidRDefault="00004F7E" w:rsidP="00004F7E">
      <w:r>
        <w:rPr>
          <w:noProof/>
          <w:lang w:eastAsia="fr-FR"/>
        </w:rPr>
        <w:drawing>
          <wp:inline distT="0" distB="0" distL="0" distR="0" wp14:anchorId="5C87F280" wp14:editId="666F08D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istribution-diamétrique--INRAE-_files/figure-docx/unnamed-chunk-1-1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9E24EC" w:rsidRDefault="00004F7E" w:rsidP="009E24EC">
      <w:r>
        <w:rPr>
          <w:noProof/>
          <w:lang w:eastAsia="fr-FR"/>
        </w:rPr>
        <w:drawing>
          <wp:inline distT="0" distB="0" distL="0" distR="0" wp14:anchorId="32CEEC21" wp14:editId="47458B6C">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Distribution-diamétrique--INRAE-_files/figure-docx/cdf-16.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Carapa</w:t>
      </w:r>
      <w:proofErr w:type="spellEnd"/>
      <w:r>
        <w:t xml:space="preserve"> </w:t>
      </w:r>
      <w:proofErr w:type="spellStart"/>
      <w:r>
        <w:t>surinamensis</w:t>
      </w:r>
      <w:proofErr w:type="spellEnd"/>
    </w:p>
    <w:p w:rsidR="00774F8A" w:rsidRDefault="00857686" w:rsidP="00857686">
      <w:r w:rsidRPr="00774F8A">
        <w:rPr>
          <w:color w:val="FF0000"/>
        </w:rPr>
        <w:t>Nous ne disposons pas d’éléments sur cet</w:t>
      </w:r>
      <w:r w:rsidR="00FF143F" w:rsidRPr="00774F8A">
        <w:rPr>
          <w:color w:val="FF0000"/>
        </w:rPr>
        <w:t>te</w:t>
      </w:r>
      <w:r w:rsidRPr="00774F8A">
        <w:rPr>
          <w:color w:val="FF0000"/>
        </w:rPr>
        <w:t xml:space="preserve"> espèce</w:t>
      </w:r>
      <w:r>
        <w:t xml:space="preserve">. Son analyse reste complexe car bien que présente à </w:t>
      </w:r>
      <w:proofErr w:type="gramStart"/>
      <w:r>
        <w:t>plusieurs stade</w:t>
      </w:r>
      <w:proofErr w:type="gramEnd"/>
      <w:r>
        <w:t xml:space="preserve"> de croissance elle ne </w:t>
      </w:r>
      <w:proofErr w:type="spellStart"/>
      <w:r>
        <w:t>dipose</w:t>
      </w:r>
      <w:proofErr w:type="spellEnd"/>
      <w:r>
        <w:t xml:space="preserve"> que de peu d’individus.</w:t>
      </w:r>
      <w:r w:rsidR="00774F8A">
        <w:t xml:space="preserve"> (G) probablement de lumière.</w:t>
      </w:r>
    </w:p>
    <w:p w:rsidR="00004F7E" w:rsidRDefault="00004F7E" w:rsidP="00857686">
      <w:r>
        <w:rPr>
          <w:noProof/>
          <w:lang w:eastAsia="fr-FR"/>
        </w:rPr>
        <w:drawing>
          <wp:inline distT="0" distB="0" distL="0" distR="0" wp14:anchorId="0EB18C7A" wp14:editId="4C66E07D">
            <wp:extent cx="3438525" cy="2352675"/>
            <wp:effectExtent l="0" t="0" r="9525" b="9525"/>
            <wp:docPr id="72" name="Picture"/>
            <wp:cNvGraphicFramePr/>
            <a:graphic xmlns:a="http://schemas.openxmlformats.org/drawingml/2006/main">
              <a:graphicData uri="http://schemas.openxmlformats.org/drawingml/2006/picture">
                <pic:pic xmlns:pic="http://schemas.openxmlformats.org/drawingml/2006/picture">
                  <pic:nvPicPr>
                    <pic:cNvPr id="73" name="Picture" descr="Distribution-diamétrique--INRAE-_files/figure-docx/unnamed-chunk-1-18.png"/>
                    <pic:cNvPicPr>
                      <a:picLocks noChangeAspect="1" noChangeArrowheads="1"/>
                    </pic:cNvPicPr>
                  </pic:nvPicPr>
                  <pic:blipFill>
                    <a:blip r:embed="rId39"/>
                    <a:stretch>
                      <a:fillRect/>
                    </a:stretch>
                  </pic:blipFill>
                  <pic:spPr bwMode="auto">
                    <a:xfrm>
                      <a:off x="0" y="0"/>
                      <a:ext cx="3438899" cy="2352931"/>
                    </a:xfrm>
                    <a:prstGeom prst="rect">
                      <a:avLst/>
                    </a:prstGeom>
                    <a:noFill/>
                    <a:ln w="9525">
                      <a:noFill/>
                      <a:headEnd/>
                      <a:tailEnd/>
                    </a:ln>
                  </pic:spPr>
                </pic:pic>
              </a:graphicData>
            </a:graphic>
          </wp:inline>
        </w:drawing>
      </w:r>
    </w:p>
    <w:p w:rsidR="00D251F0" w:rsidRDefault="00004F7E" w:rsidP="00857686">
      <w:r>
        <w:rPr>
          <w:noProof/>
          <w:lang w:eastAsia="fr-FR"/>
        </w:rPr>
        <w:drawing>
          <wp:inline distT="0" distB="0" distL="0" distR="0" wp14:anchorId="187F2A1C" wp14:editId="617F270C">
            <wp:extent cx="4219575" cy="3343275"/>
            <wp:effectExtent l="0" t="0" r="9525" b="9525"/>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Distribution-diamétrique--INRAE-_files/figure-docx/cdf-17.png"/>
                    <pic:cNvPicPr>
                      <a:picLocks noChangeAspect="1" noChangeArrowheads="1"/>
                    </pic:cNvPicPr>
                  </pic:nvPicPr>
                  <pic:blipFill>
                    <a:blip r:embed="rId40"/>
                    <a:stretch>
                      <a:fillRect/>
                    </a:stretch>
                  </pic:blipFill>
                  <pic:spPr bwMode="auto">
                    <a:xfrm>
                      <a:off x="0" y="0"/>
                      <a:ext cx="4220034" cy="3343639"/>
                    </a:xfrm>
                    <a:prstGeom prst="rect">
                      <a:avLst/>
                    </a:prstGeom>
                    <a:noFill/>
                    <a:ln w="9525">
                      <a:noFill/>
                      <a:headEnd/>
                      <a:tailEnd/>
                    </a:ln>
                  </pic:spPr>
                </pic:pic>
              </a:graphicData>
            </a:graphic>
          </wp:inline>
        </w:drawing>
      </w:r>
      <w:r w:rsidR="00D251F0">
        <w:t xml:space="preserve">   </w:t>
      </w:r>
    </w:p>
    <w:p w:rsidR="00D251F0" w:rsidRDefault="00D251F0" w:rsidP="00857686">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Bocoa</w:t>
      </w:r>
      <w:proofErr w:type="spellEnd"/>
      <w:r>
        <w:t xml:space="preserve"> </w:t>
      </w:r>
      <w:proofErr w:type="spellStart"/>
      <w:r>
        <w:t>prouacensis</w:t>
      </w:r>
      <w:proofErr w:type="spellEnd"/>
    </w:p>
    <w:p w:rsidR="00857686" w:rsidRPr="00857686" w:rsidRDefault="00857686" w:rsidP="00857686">
      <w:r w:rsidRPr="000D3720">
        <w:rPr>
          <w:color w:val="FF0000"/>
        </w:rPr>
        <w:t xml:space="preserve">Nous ne disposons pas d’information sur cette espèce. </w:t>
      </w:r>
      <w:r>
        <w:t>Nous pouvons voir qu’il n’y a</w:t>
      </w:r>
      <w:r w:rsidR="000D3720">
        <w:t xml:space="preserve"> un ensemble continue d’individus présent dans chaque classe de diamètre.</w:t>
      </w:r>
      <w:r w:rsidR="001A650C">
        <w:t xml:space="preserve"> (G) </w:t>
      </w:r>
      <w:proofErr w:type="spellStart"/>
      <w:r w:rsidR="001A650C">
        <w:t>Hypère</w:t>
      </w:r>
      <w:proofErr w:type="spellEnd"/>
      <w:r w:rsidR="001A650C">
        <w:t xml:space="preserve"> tolérante à l’ombre, longue croissance. (V) est-ce qu’elle aurait une phase pleine lumière [20 ;50].</w:t>
      </w:r>
    </w:p>
    <w:p w:rsidR="00092396" w:rsidRDefault="00092396" w:rsidP="00092396">
      <w:r>
        <w:rPr>
          <w:noProof/>
          <w:lang w:eastAsia="fr-FR"/>
        </w:rPr>
        <w:drawing>
          <wp:inline distT="0" distB="0" distL="0" distR="0" wp14:anchorId="56D37A82" wp14:editId="0A0FA618">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Distribution-diamétrique--INRAE-_files/figure-docx/unnamed-chunk-1-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092396" w:rsidRPr="00092396" w:rsidRDefault="00092396" w:rsidP="00092396">
      <w:r>
        <w:rPr>
          <w:noProof/>
          <w:lang w:eastAsia="fr-FR"/>
        </w:rPr>
        <w:drawing>
          <wp:inline distT="0" distB="0" distL="0" distR="0" wp14:anchorId="1723B44D" wp14:editId="4FC89AC7">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istribution-diamétrique--INRAE-_files/figure-docx/cdf-1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0D3720" w:rsidRDefault="000D3720">
      <w:pPr>
        <w:ind w:firstLine="0"/>
        <w:jc w:val="left"/>
        <w:rPr>
          <w:rFonts w:eastAsiaTheme="majorEastAsia"/>
          <w:b/>
          <w:i/>
          <w:color w:val="2E74B5" w:themeColor="accent1" w:themeShade="BF"/>
          <w:sz w:val="36"/>
          <w:szCs w:val="32"/>
        </w:rPr>
      </w:pPr>
      <w:r>
        <w:br w:type="page"/>
      </w:r>
    </w:p>
    <w:p w:rsidR="00857686" w:rsidRDefault="00D251F0" w:rsidP="00857686">
      <w:pPr>
        <w:pStyle w:val="Titre1"/>
      </w:pPr>
      <w:proofErr w:type="spellStart"/>
      <w:r>
        <w:lastRenderedPageBreak/>
        <w:t>Vouacapoua</w:t>
      </w:r>
      <w:proofErr w:type="spellEnd"/>
      <w:r>
        <w:t xml:space="preserve"> americana </w:t>
      </w:r>
    </w:p>
    <w:p w:rsidR="000D3720" w:rsidRPr="000D3720" w:rsidRDefault="000D3720" w:rsidP="000D3720">
      <w:r>
        <w:t xml:space="preserve">D’après la littérature cette espèce est dite </w:t>
      </w:r>
      <w:proofErr w:type="spellStart"/>
      <w:r>
        <w:rPr>
          <w:b/>
        </w:rPr>
        <w:t>sciaphile</w:t>
      </w:r>
      <w:proofErr w:type="spellEnd"/>
      <w:r w:rsidR="001E2E60">
        <w:rPr>
          <w:b/>
        </w:rPr>
        <w:t xml:space="preserve"> </w:t>
      </w:r>
      <w:r w:rsidR="001E2E60">
        <w:rPr>
          <w:b/>
        </w:rPr>
        <w:fldChar w:fldCharType="begin"/>
      </w:r>
      <w:r w:rsidR="001E2E60">
        <w:rPr>
          <w:b/>
        </w:rPr>
        <w:instrText xml:space="preserve"> ADDIN ZOTERO_ITEM CSL_CITATION {"citationID":"Q2kXlwkD","properties":{"formattedCitation":"(Guitet &amp; Brunaux, 2012)","plainCitation":"(Guitet &amp; Brunaux, 2012)","noteIndex":0},"citationItems":[{"id":90,"uris":["http://zotero.org/users/10657522/items/9XBF5QVS"],"itemData":{"id":90,"type":"report","event-place":"Guyane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schema":"https://github.com/citation-style-language/schema/raw/master/csl-citation.json"} </w:instrText>
      </w:r>
      <w:r w:rsidR="001E2E60">
        <w:rPr>
          <w:b/>
        </w:rPr>
        <w:fldChar w:fldCharType="separate"/>
      </w:r>
      <w:r w:rsidR="001E2E60" w:rsidRPr="001E2E60">
        <w:t>(</w:t>
      </w:r>
      <w:proofErr w:type="spellStart"/>
      <w:r w:rsidR="001E2E60" w:rsidRPr="001E2E60">
        <w:t>Guitet</w:t>
      </w:r>
      <w:proofErr w:type="spellEnd"/>
      <w:r w:rsidR="001E2E60" w:rsidRPr="001E2E60">
        <w:t xml:space="preserve"> &amp; </w:t>
      </w:r>
      <w:proofErr w:type="spellStart"/>
      <w:r w:rsidR="001E2E60" w:rsidRPr="001E2E60">
        <w:t>Brunaux</w:t>
      </w:r>
      <w:proofErr w:type="spellEnd"/>
      <w:r w:rsidR="001E2E60" w:rsidRPr="001E2E60">
        <w:t>, 2012)</w:t>
      </w:r>
      <w:r w:rsidR="001E2E60">
        <w:rPr>
          <w:b/>
        </w:rPr>
        <w:fldChar w:fldCharType="end"/>
      </w:r>
      <w:r>
        <w:t>. Cette espèce présente des individus en tout âge avec une très gr</w:t>
      </w:r>
      <w:r w:rsidR="001A650C">
        <w:t>osse majorité en petit diamètre, présence de plot.</w:t>
      </w:r>
    </w:p>
    <w:p w:rsidR="00092396" w:rsidRDefault="00092396" w:rsidP="00857686">
      <w:r>
        <w:rPr>
          <w:noProof/>
          <w:lang w:eastAsia="fr-FR"/>
        </w:rPr>
        <w:drawing>
          <wp:inline distT="0" distB="0" distL="0" distR="0" wp14:anchorId="737B58CC" wp14:editId="5E0A82D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Distribution-diamétrique--INRAE-_files/figure-docx/unnamed-chunk-1-2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092396" w:rsidRPr="001E2E60" w:rsidRDefault="00092396" w:rsidP="001E2E60">
      <w:r>
        <w:rPr>
          <w:noProof/>
          <w:lang w:eastAsia="fr-FR"/>
        </w:rPr>
        <w:drawing>
          <wp:inline distT="0" distB="0" distL="0" distR="0" wp14:anchorId="4CD784C7" wp14:editId="030D9951">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Distribution-diamétrique--INRAE-_files/figure-docx/cdf-19.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D251F0" w:rsidRDefault="00D251F0" w:rsidP="00D251F0">
      <w:pPr>
        <w:pStyle w:val="Titre1"/>
      </w:pPr>
      <w:proofErr w:type="spellStart"/>
      <w:r>
        <w:lastRenderedPageBreak/>
        <w:t>Sterculia</w:t>
      </w:r>
      <w:proofErr w:type="spellEnd"/>
      <w:r>
        <w:t xml:space="preserve"> </w:t>
      </w:r>
      <w:proofErr w:type="spellStart"/>
      <w:r>
        <w:t>speciosa</w:t>
      </w:r>
      <w:proofErr w:type="spellEnd"/>
    </w:p>
    <w:p w:rsidR="00D251F0" w:rsidRDefault="001E2E60" w:rsidP="00BE3B16">
      <w:pPr>
        <w:ind w:firstLine="0"/>
      </w:pPr>
      <w:r w:rsidRPr="006F1CE5">
        <w:rPr>
          <w:color w:val="FF0000"/>
        </w:rPr>
        <w:t>Nous ne disposons pas d’information sur cette espèce.</w:t>
      </w:r>
      <w:r>
        <w:t xml:space="preserve"> Elle </w:t>
      </w:r>
      <w:proofErr w:type="spellStart"/>
      <w:r>
        <w:t>dispoe</w:t>
      </w:r>
      <w:proofErr w:type="spellEnd"/>
      <w:r>
        <w:t xml:space="preserve"> </w:t>
      </w:r>
      <w:proofErr w:type="spellStart"/>
      <w:r>
        <w:t>glogablement</w:t>
      </w:r>
      <w:proofErr w:type="spellEnd"/>
      <w:r>
        <w:t xml:space="preserve"> que de peu d’individus. Elle possède quelques individus dans presque tous les stades de croissance</w:t>
      </w:r>
      <w:r w:rsidR="001267DF">
        <w:t>.</w:t>
      </w:r>
      <w:r w:rsidR="006F1CE5">
        <w:t xml:space="preserve"> (V) Suppose d’après observation lumière.</w:t>
      </w:r>
    </w:p>
    <w:p w:rsidR="00BE3B16" w:rsidRDefault="00BE3B16" w:rsidP="00BE3B16">
      <w:pPr>
        <w:ind w:firstLine="0"/>
      </w:pPr>
      <w:r>
        <w:rPr>
          <w:noProof/>
          <w:lang w:eastAsia="fr-FR"/>
        </w:rPr>
        <w:drawing>
          <wp:inline distT="0" distB="0" distL="0" distR="0" wp14:anchorId="040F065E" wp14:editId="4F7406AF">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istribution-diamétrique--INRAE-_files/figure-docx/unnamed-chunk-1-24.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E3B16" w:rsidRDefault="00BE3B16" w:rsidP="00BE3B16">
      <w:pPr>
        <w:ind w:firstLine="0"/>
      </w:pPr>
      <w:r>
        <w:rPr>
          <w:noProof/>
          <w:lang w:eastAsia="fr-FR"/>
        </w:rPr>
        <w:drawing>
          <wp:inline distT="0" distB="0" distL="0" distR="0" wp14:anchorId="5C9C3C53" wp14:editId="70C315EA">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Distribution-diamétrique--INRAE-_files/figure-docx/cdf-20.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0D3720">
      <w:r>
        <w:t> </w:t>
      </w:r>
    </w:p>
    <w:p w:rsidR="001267DF" w:rsidRDefault="001267DF">
      <w:pPr>
        <w:ind w:firstLine="0"/>
        <w:jc w:val="left"/>
      </w:pPr>
      <w:r>
        <w:lastRenderedPageBreak/>
        <w:br w:type="page"/>
      </w:r>
    </w:p>
    <w:p w:rsidR="00D251F0" w:rsidRPr="001267DF" w:rsidRDefault="00D251F0" w:rsidP="001267DF">
      <w:pPr>
        <w:pStyle w:val="Titre1"/>
      </w:pPr>
      <w:proofErr w:type="spellStart"/>
      <w:r>
        <w:lastRenderedPageBreak/>
        <w:t>Platonia</w:t>
      </w:r>
      <w:proofErr w:type="spellEnd"/>
      <w:r>
        <w:t xml:space="preserve"> </w:t>
      </w:r>
      <w:proofErr w:type="spellStart"/>
      <w:r>
        <w:t>insignis</w:t>
      </w:r>
      <w:proofErr w:type="spellEnd"/>
    </w:p>
    <w:p w:rsidR="00D251F0" w:rsidRDefault="00D251F0" w:rsidP="001267DF">
      <w:r>
        <w:t xml:space="preserve">  </w:t>
      </w:r>
      <w:proofErr w:type="gramStart"/>
      <w:r w:rsidR="001267DF">
        <w:t>Cet espèce</w:t>
      </w:r>
      <w:proofErr w:type="gramEnd"/>
      <w:r w:rsidR="001267DF">
        <w:t xml:space="preserve"> dispose que de peu d’individus, mais peut être présente dans tous les stades de croissance.</w:t>
      </w:r>
    </w:p>
    <w:p w:rsidR="00BE3B16" w:rsidRDefault="00BE3B16">
      <w:pPr>
        <w:ind w:firstLine="0"/>
        <w:jc w:val="left"/>
      </w:pPr>
      <w:r>
        <w:rPr>
          <w:noProof/>
          <w:lang w:eastAsia="fr-FR"/>
        </w:rPr>
        <w:drawing>
          <wp:inline distT="0" distB="0" distL="0" distR="0" wp14:anchorId="783BA93A" wp14:editId="23D80797">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Distribution-diamétrique--INRAE-_files/figure-docx/unnamed-chunk-1-26.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BE3B16" w:rsidRDefault="00BE3B16">
      <w:pPr>
        <w:ind w:firstLine="0"/>
        <w:jc w:val="left"/>
        <w:rPr>
          <w:rFonts w:eastAsiaTheme="majorEastAsia"/>
          <w:b/>
          <w:i/>
          <w:color w:val="2E74B5" w:themeColor="accent1" w:themeShade="BF"/>
          <w:sz w:val="36"/>
          <w:szCs w:val="32"/>
        </w:rPr>
      </w:pPr>
      <w:r>
        <w:rPr>
          <w:noProof/>
          <w:lang w:eastAsia="fr-FR"/>
        </w:rPr>
        <w:drawing>
          <wp:inline distT="0" distB="0" distL="0" distR="0" wp14:anchorId="66575D1D" wp14:editId="409C13BA">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Distribution-diamétrique--INRAE-_files/figure-docx/cdf-2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br w:type="page"/>
      </w:r>
    </w:p>
    <w:p w:rsidR="00D251F0" w:rsidRDefault="00D251F0" w:rsidP="00D251F0">
      <w:pPr>
        <w:pStyle w:val="Titre1"/>
      </w:pPr>
      <w:r>
        <w:lastRenderedPageBreak/>
        <w:t>Autres</w:t>
      </w:r>
    </w:p>
    <w:p w:rsidR="00D251F0" w:rsidRDefault="00D251F0" w:rsidP="00D251F0">
      <w:r>
        <w:t> </w:t>
      </w:r>
    </w:p>
    <w:p w:rsidR="00D251F0" w:rsidRPr="00D251F0" w:rsidRDefault="00D251F0" w:rsidP="00D251F0">
      <w:r w:rsidRPr="00D251F0">
        <w:t>Les espèces suivantes ont été retiré du jeu de données car trop peu de données y été associées, ou bien par absence de correspondance.</w:t>
      </w:r>
    </w:p>
    <w:p w:rsidR="00D251F0" w:rsidRDefault="00D251F0" w:rsidP="00D251F0">
      <w:pPr>
        <w:rPr>
          <w:i/>
        </w:rPr>
      </w:pPr>
      <w:proofErr w:type="spellStart"/>
      <w:r w:rsidRPr="00BE3B16">
        <w:rPr>
          <w:i/>
        </w:rPr>
        <w:t>Moronobea</w:t>
      </w:r>
      <w:proofErr w:type="spellEnd"/>
      <w:r w:rsidRPr="00BE3B16">
        <w:rPr>
          <w:i/>
        </w:rPr>
        <w:t xml:space="preserve"> </w:t>
      </w:r>
      <w:proofErr w:type="spellStart"/>
      <w:r w:rsidRPr="00BE3B16">
        <w:rPr>
          <w:i/>
        </w:rPr>
        <w:t>coccinea</w:t>
      </w:r>
      <w:proofErr w:type="spellEnd"/>
      <w:r w:rsidRPr="00BE3B16">
        <w:rPr>
          <w:i/>
        </w:rPr>
        <w:t xml:space="preserve">, Virola </w:t>
      </w:r>
      <w:proofErr w:type="spellStart"/>
      <w:r w:rsidRPr="00BE3B16">
        <w:rPr>
          <w:i/>
        </w:rPr>
        <w:t>surinamensis</w:t>
      </w:r>
      <w:proofErr w:type="spellEnd"/>
      <w:r w:rsidRPr="00BE3B16">
        <w:rPr>
          <w:i/>
        </w:rPr>
        <w:t xml:space="preserve">, Andira </w:t>
      </w:r>
      <w:proofErr w:type="spellStart"/>
      <w:r w:rsidRPr="00BE3B16">
        <w:rPr>
          <w:i/>
        </w:rPr>
        <w:t>coriacea</w:t>
      </w:r>
      <w:proofErr w:type="spellEnd"/>
    </w:p>
    <w:p w:rsidR="00701184" w:rsidRDefault="00701184" w:rsidP="00701184">
      <w:pPr>
        <w:ind w:firstLine="0"/>
      </w:pPr>
      <w:r>
        <w:rPr>
          <w:noProof/>
          <w:lang w:eastAsia="fr-FR"/>
        </w:rPr>
        <w:drawing>
          <wp:inline distT="0" distB="0" distL="0" distR="0" wp14:anchorId="559DF660" wp14:editId="28019300">
            <wp:extent cx="3358092" cy="1921933"/>
            <wp:effectExtent l="0" t="0" r="0" b="254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istribution-diamétrique--INRAE-_files/figure-docx/unnamed-chunk-1-13.png"/>
                    <pic:cNvPicPr>
                      <a:picLocks noChangeAspect="1" noChangeArrowheads="1"/>
                    </pic:cNvPicPr>
                  </pic:nvPicPr>
                  <pic:blipFill>
                    <a:blip r:embed="rId49"/>
                    <a:stretch>
                      <a:fillRect/>
                    </a:stretch>
                  </pic:blipFill>
                  <pic:spPr bwMode="auto">
                    <a:xfrm>
                      <a:off x="0" y="0"/>
                      <a:ext cx="3363047" cy="1924769"/>
                    </a:xfrm>
                    <a:prstGeom prst="rect">
                      <a:avLst/>
                    </a:prstGeom>
                    <a:noFill/>
                    <a:ln w="9525">
                      <a:noFill/>
                      <a:headEnd/>
                      <a:tailEnd/>
                    </a:ln>
                  </pic:spPr>
                </pic:pic>
              </a:graphicData>
            </a:graphic>
          </wp:inline>
        </w:drawing>
      </w:r>
    </w:p>
    <w:p w:rsidR="00701184" w:rsidRDefault="00701184" w:rsidP="00701184">
      <w:pPr>
        <w:ind w:firstLine="0"/>
      </w:pPr>
      <w:r>
        <w:rPr>
          <w:noProof/>
          <w:lang w:eastAsia="fr-FR"/>
        </w:rPr>
        <w:drawing>
          <wp:inline distT="0" distB="0" distL="0" distR="0" wp14:anchorId="12B3A910" wp14:editId="11698436">
            <wp:extent cx="3370792" cy="2137833"/>
            <wp:effectExtent l="0" t="0" r="127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istribution-diamétrique--INRAE-_files/figure-docx/unnamed-chunk-1-20.png"/>
                    <pic:cNvPicPr>
                      <a:picLocks noChangeAspect="1" noChangeArrowheads="1"/>
                    </pic:cNvPicPr>
                  </pic:nvPicPr>
                  <pic:blipFill>
                    <a:blip r:embed="rId50"/>
                    <a:stretch>
                      <a:fillRect/>
                    </a:stretch>
                  </pic:blipFill>
                  <pic:spPr bwMode="auto">
                    <a:xfrm>
                      <a:off x="0" y="0"/>
                      <a:ext cx="3378802" cy="2142913"/>
                    </a:xfrm>
                    <a:prstGeom prst="rect">
                      <a:avLst/>
                    </a:prstGeom>
                    <a:noFill/>
                    <a:ln w="9525">
                      <a:noFill/>
                      <a:headEnd/>
                      <a:tailEnd/>
                    </a:ln>
                  </pic:spPr>
                </pic:pic>
              </a:graphicData>
            </a:graphic>
          </wp:inline>
        </w:drawing>
      </w:r>
    </w:p>
    <w:p w:rsidR="00701184" w:rsidRPr="00701184" w:rsidRDefault="00701184" w:rsidP="00701184">
      <w:pPr>
        <w:ind w:firstLine="0"/>
      </w:pPr>
      <w:r>
        <w:rPr>
          <w:noProof/>
          <w:lang w:eastAsia="fr-FR"/>
        </w:rPr>
        <w:drawing>
          <wp:inline distT="0" distB="0" distL="0" distR="0" wp14:anchorId="2B714311" wp14:editId="3326A543">
            <wp:extent cx="3335867" cy="2032000"/>
            <wp:effectExtent l="0" t="0" r="0" b="635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istribution-diamétrique--INRAE-_files/figure-docx/unnamed-chunk-1-23.png"/>
                    <pic:cNvPicPr>
                      <a:picLocks noChangeAspect="1" noChangeArrowheads="1"/>
                    </pic:cNvPicPr>
                  </pic:nvPicPr>
                  <pic:blipFill>
                    <a:blip r:embed="rId51"/>
                    <a:stretch>
                      <a:fillRect/>
                    </a:stretch>
                  </pic:blipFill>
                  <pic:spPr bwMode="auto">
                    <a:xfrm>
                      <a:off x="0" y="0"/>
                      <a:ext cx="3349025" cy="2040015"/>
                    </a:xfrm>
                    <a:prstGeom prst="rect">
                      <a:avLst/>
                    </a:prstGeom>
                    <a:noFill/>
                    <a:ln w="9525">
                      <a:noFill/>
                      <a:headEnd/>
                      <a:tailEnd/>
                    </a:ln>
                  </pic:spPr>
                </pic:pic>
              </a:graphicData>
            </a:graphic>
          </wp:inline>
        </w:drawing>
      </w:r>
    </w:p>
    <w:p w:rsidR="00D251F0" w:rsidRDefault="00D251F0" w:rsidP="00D251F0">
      <w:r>
        <w:t xml:space="preserve">Ces espèces ne </w:t>
      </w:r>
      <w:proofErr w:type="spellStart"/>
      <w:r>
        <w:t>diposent</w:t>
      </w:r>
      <w:proofErr w:type="spellEnd"/>
      <w:r>
        <w:t xml:space="preserve"> que de trop peu d’individus pour </w:t>
      </w:r>
      <w:proofErr w:type="spellStart"/>
      <w:r>
        <w:t>etre</w:t>
      </w:r>
      <w:proofErr w:type="spellEnd"/>
      <w:r>
        <w:t xml:space="preserve"> exploitable.</w:t>
      </w:r>
    </w:p>
    <w:p w:rsidR="00D251F0" w:rsidRDefault="00D251F0" w:rsidP="00D251F0">
      <w:r>
        <w:t>Les espèces suivantes ne trouvent pas de correspondance dans notre jeu de données :</w:t>
      </w:r>
      <w:r>
        <w:t> </w:t>
      </w:r>
    </w:p>
    <w:p w:rsidR="00680410" w:rsidRDefault="00D251F0" w:rsidP="00680410">
      <w:pPr>
        <w:rPr>
          <w:i/>
        </w:rPr>
      </w:pPr>
      <w:proofErr w:type="spellStart"/>
      <w:r w:rsidRPr="00701184">
        <w:rPr>
          <w:i/>
        </w:rPr>
        <w:t>Eperua</w:t>
      </w:r>
      <w:proofErr w:type="spellEnd"/>
      <w:r w:rsidRPr="00701184">
        <w:rPr>
          <w:i/>
        </w:rPr>
        <w:t xml:space="preserve"> </w:t>
      </w:r>
      <w:proofErr w:type="spellStart"/>
      <w:r w:rsidRPr="00701184">
        <w:rPr>
          <w:i/>
        </w:rPr>
        <w:t>grandiflora</w:t>
      </w:r>
      <w:proofErr w:type="spellEnd"/>
      <w:r w:rsidRPr="00701184">
        <w:rPr>
          <w:i/>
        </w:rPr>
        <w:t xml:space="preserve">, </w:t>
      </w:r>
      <w:proofErr w:type="spellStart"/>
      <w:r w:rsidRPr="00701184">
        <w:rPr>
          <w:i/>
        </w:rPr>
        <w:t>Symphonia</w:t>
      </w:r>
      <w:proofErr w:type="spellEnd"/>
      <w:r w:rsidRPr="00701184">
        <w:rPr>
          <w:i/>
        </w:rPr>
        <w:t xml:space="preserve"> sp.2, </w:t>
      </w:r>
      <w:proofErr w:type="spellStart"/>
      <w:r w:rsidRPr="00701184">
        <w:rPr>
          <w:i/>
        </w:rPr>
        <w:t>Symphonia</w:t>
      </w:r>
      <w:proofErr w:type="spellEnd"/>
      <w:r w:rsidRPr="00701184">
        <w:rPr>
          <w:i/>
        </w:rPr>
        <w:t xml:space="preserve"> sp.4, </w:t>
      </w:r>
      <w:proofErr w:type="spellStart"/>
      <w:r w:rsidRPr="00701184">
        <w:rPr>
          <w:i/>
        </w:rPr>
        <w:t>Symphonia</w:t>
      </w:r>
      <w:proofErr w:type="spellEnd"/>
      <w:r w:rsidRPr="00701184">
        <w:rPr>
          <w:i/>
        </w:rPr>
        <w:t xml:space="preserve"> sp.3, </w:t>
      </w:r>
      <w:proofErr w:type="spellStart"/>
      <w:r w:rsidRPr="00701184">
        <w:rPr>
          <w:i/>
        </w:rPr>
        <w:t>Indeterminé</w:t>
      </w:r>
      <w:proofErr w:type="spellEnd"/>
      <w:r w:rsidR="00701184">
        <w:rPr>
          <w:i/>
        </w:rPr>
        <w:t>.</w:t>
      </w:r>
    </w:p>
    <w:p w:rsidR="00680410" w:rsidRDefault="00680410" w:rsidP="00680410">
      <w:r>
        <w:br w:type="page"/>
      </w:r>
    </w:p>
    <w:p w:rsidR="00680410" w:rsidRDefault="00680410" w:rsidP="00680410">
      <w:pPr>
        <w:pStyle w:val="Titre1"/>
        <w:jc w:val="center"/>
      </w:pPr>
      <w:r>
        <w:lastRenderedPageBreak/>
        <w:t>CONCLUSION</w:t>
      </w:r>
    </w:p>
    <w:p w:rsidR="00680410" w:rsidRDefault="00680410" w:rsidP="00680410">
      <w:r>
        <w:t xml:space="preserve">Nous pouvons voir ici que les distribution </w:t>
      </w:r>
      <w:proofErr w:type="spellStart"/>
      <w:r>
        <w:t>diamétrique</w:t>
      </w:r>
      <w:proofErr w:type="spellEnd"/>
      <w:r>
        <w:t xml:space="preserve"> sont que peu fiable. </w:t>
      </w:r>
      <w:proofErr w:type="spellStart"/>
      <w:r>
        <w:t>Cad</w:t>
      </w:r>
      <w:proofErr w:type="spellEnd"/>
      <w:r>
        <w:t xml:space="preserve"> que nous nous attendions à avoir une courbe bien établi pour les espèces dites héliophile. Cependant </w:t>
      </w:r>
      <w:proofErr w:type="spellStart"/>
      <w:r>
        <w:t>nosus</w:t>
      </w:r>
      <w:proofErr w:type="spellEnd"/>
      <w:r>
        <w:t xml:space="preserve"> première observation peut </w:t>
      </w:r>
      <w:proofErr w:type="spellStart"/>
      <w:r>
        <w:t>nousmontrer</w:t>
      </w:r>
      <w:proofErr w:type="spellEnd"/>
      <w:r>
        <w:t xml:space="preserve"> qu’il n’existas de juste milieu. </w:t>
      </w:r>
      <w:r w:rsidR="009E5D18">
        <w:t>Cela peut s’expliquer par plusieurs choses.</w:t>
      </w:r>
    </w:p>
    <w:p w:rsidR="009E5D18" w:rsidRDefault="009E5D18" w:rsidP="00775F12">
      <w:pPr>
        <w:pStyle w:val="Paragraphedeliste"/>
        <w:numPr>
          <w:ilvl w:val="0"/>
          <w:numId w:val="1"/>
        </w:numPr>
      </w:pPr>
      <w:r>
        <w:t xml:space="preserve">Variation des présences de semi : La </w:t>
      </w:r>
      <w:r w:rsidR="00C524EB">
        <w:t>distance au jeunes parents + adaptation au milieu</w:t>
      </w:r>
    </w:p>
    <w:p w:rsidR="00C524EB" w:rsidRPr="00680410" w:rsidRDefault="00C524EB" w:rsidP="00775F12">
      <w:pPr>
        <w:pStyle w:val="Paragraphedeliste"/>
        <w:numPr>
          <w:ilvl w:val="0"/>
          <w:numId w:val="1"/>
        </w:numPr>
      </w:pPr>
      <w:r>
        <w:t xml:space="preserve">La </w:t>
      </w:r>
      <w:r w:rsidR="00D6343F">
        <w:t xml:space="preserve">fréquence des jeunes individus et gros arbres :  nous pouvons voir que un profil dit tolérant </w:t>
      </w:r>
      <w:proofErr w:type="gramStart"/>
      <w:r w:rsidR="00D6343F">
        <w:t>à  l’ombre</w:t>
      </w:r>
      <w:proofErr w:type="gramEnd"/>
      <w:r w:rsidR="00D6343F">
        <w:t xml:space="preserve"> ne signifie pas d’un existe un ??</w:t>
      </w:r>
    </w:p>
    <w:p w:rsidR="00680410" w:rsidRPr="00680410" w:rsidRDefault="00680410" w:rsidP="00680410"/>
    <w:p w:rsidR="004E00A2" w:rsidRDefault="00AB6061" w:rsidP="00D251F0"/>
    <w:sectPr w:rsidR="004E00A2">
      <w:headerReference w:type="even" r:id="rId52"/>
      <w:headerReference w:type="default" r:id="rId53"/>
      <w:footerReference w:type="even" r:id="rId54"/>
      <w:footerReference w:type="default" r:id="rId55"/>
      <w:headerReference w:type="first" r:id="rId56"/>
      <w:footerReference w:type="firs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061" w:rsidRDefault="00AB6061" w:rsidP="009E24EC">
      <w:pPr>
        <w:spacing w:after="0" w:line="240" w:lineRule="auto"/>
      </w:pPr>
      <w:r>
        <w:separator/>
      </w:r>
    </w:p>
  </w:endnote>
  <w:endnote w:type="continuationSeparator" w:id="0">
    <w:p w:rsidR="00AB6061" w:rsidRDefault="00AB6061" w:rsidP="009E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061" w:rsidRDefault="00AB6061" w:rsidP="009E24EC">
      <w:pPr>
        <w:spacing w:after="0" w:line="240" w:lineRule="auto"/>
      </w:pPr>
      <w:r>
        <w:separator/>
      </w:r>
    </w:p>
  </w:footnote>
  <w:footnote w:type="continuationSeparator" w:id="0">
    <w:p w:rsidR="00AB6061" w:rsidRDefault="00AB6061" w:rsidP="009E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EC" w:rsidRDefault="009E24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2179D"/>
    <w:multiLevelType w:val="hybridMultilevel"/>
    <w:tmpl w:val="7CB818C6"/>
    <w:lvl w:ilvl="0" w:tplc="F29E1C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F0"/>
    <w:rsid w:val="00001398"/>
    <w:rsid w:val="00004F7E"/>
    <w:rsid w:val="00092396"/>
    <w:rsid w:val="00094272"/>
    <w:rsid w:val="000D3720"/>
    <w:rsid w:val="001267DF"/>
    <w:rsid w:val="001A650C"/>
    <w:rsid w:val="001E2E60"/>
    <w:rsid w:val="0023575C"/>
    <w:rsid w:val="00287007"/>
    <w:rsid w:val="002D1A39"/>
    <w:rsid w:val="004838D3"/>
    <w:rsid w:val="004A752D"/>
    <w:rsid w:val="00524C59"/>
    <w:rsid w:val="005C2614"/>
    <w:rsid w:val="005F6AA9"/>
    <w:rsid w:val="00602926"/>
    <w:rsid w:val="00652E41"/>
    <w:rsid w:val="00680410"/>
    <w:rsid w:val="006E63A8"/>
    <w:rsid w:val="006F1CE5"/>
    <w:rsid w:val="00701184"/>
    <w:rsid w:val="00774F8A"/>
    <w:rsid w:val="00857686"/>
    <w:rsid w:val="008F2403"/>
    <w:rsid w:val="009E24EC"/>
    <w:rsid w:val="009E2595"/>
    <w:rsid w:val="009E5D18"/>
    <w:rsid w:val="00AB6061"/>
    <w:rsid w:val="00B8482E"/>
    <w:rsid w:val="00BE3B16"/>
    <w:rsid w:val="00C524EB"/>
    <w:rsid w:val="00D251F0"/>
    <w:rsid w:val="00D30573"/>
    <w:rsid w:val="00D6343F"/>
    <w:rsid w:val="00E06EE5"/>
    <w:rsid w:val="00F87B0C"/>
    <w:rsid w:val="00FF1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692A"/>
  <w15:chartTrackingRefBased/>
  <w15:docId w15:val="{FC0113C0-D7EE-4DF4-997C-AA200349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F0"/>
    <w:pPr>
      <w:ind w:firstLine="708"/>
      <w:jc w:val="both"/>
    </w:pPr>
    <w:rPr>
      <w:rFonts w:ascii="Times New Roman" w:hAnsi="Times New Roman" w:cs="Times New Roman"/>
      <w:sz w:val="24"/>
    </w:rPr>
  </w:style>
  <w:style w:type="paragraph" w:styleId="Titre1">
    <w:name w:val="heading 1"/>
    <w:basedOn w:val="Normal"/>
    <w:next w:val="Normal"/>
    <w:link w:val="Titre1Car"/>
    <w:uiPriority w:val="9"/>
    <w:qFormat/>
    <w:rsid w:val="00D251F0"/>
    <w:pPr>
      <w:keepNext/>
      <w:keepLines/>
      <w:spacing w:before="240" w:after="0"/>
      <w:outlineLvl w:val="0"/>
    </w:pPr>
    <w:rPr>
      <w:rFonts w:eastAsiaTheme="majorEastAsia"/>
      <w:b/>
      <w:i/>
      <w:color w:val="2E74B5"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51F0"/>
    <w:rPr>
      <w:rFonts w:ascii="Times New Roman" w:eastAsiaTheme="majorEastAsia" w:hAnsi="Times New Roman" w:cs="Times New Roman"/>
      <w:b/>
      <w:i/>
      <w:color w:val="2E74B5" w:themeColor="accent1" w:themeShade="BF"/>
      <w:sz w:val="36"/>
      <w:szCs w:val="32"/>
    </w:rPr>
  </w:style>
  <w:style w:type="paragraph" w:styleId="Titre">
    <w:name w:val="Title"/>
    <w:basedOn w:val="Normal"/>
    <w:next w:val="Normal"/>
    <w:link w:val="TitreCar"/>
    <w:uiPriority w:val="10"/>
    <w:qFormat/>
    <w:rsid w:val="00235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75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E5D18"/>
    <w:pPr>
      <w:ind w:left="720"/>
      <w:contextualSpacing/>
    </w:pPr>
  </w:style>
  <w:style w:type="paragraph" w:styleId="En-tte">
    <w:name w:val="header"/>
    <w:basedOn w:val="Normal"/>
    <w:link w:val="En-tteCar"/>
    <w:uiPriority w:val="99"/>
    <w:unhideWhenUsed/>
    <w:rsid w:val="009E24EC"/>
    <w:pPr>
      <w:tabs>
        <w:tab w:val="center" w:pos="4536"/>
        <w:tab w:val="right" w:pos="9072"/>
      </w:tabs>
      <w:spacing w:after="0" w:line="240" w:lineRule="auto"/>
    </w:pPr>
  </w:style>
  <w:style w:type="character" w:customStyle="1" w:styleId="En-tteCar">
    <w:name w:val="En-tête Car"/>
    <w:basedOn w:val="Policepardfaut"/>
    <w:link w:val="En-tte"/>
    <w:uiPriority w:val="99"/>
    <w:rsid w:val="009E24EC"/>
    <w:rPr>
      <w:rFonts w:ascii="Times New Roman" w:hAnsi="Times New Roman" w:cs="Times New Roman"/>
      <w:sz w:val="24"/>
    </w:rPr>
  </w:style>
  <w:style w:type="paragraph" w:styleId="Pieddepage">
    <w:name w:val="footer"/>
    <w:basedOn w:val="Normal"/>
    <w:link w:val="PieddepageCar"/>
    <w:uiPriority w:val="99"/>
    <w:unhideWhenUsed/>
    <w:rsid w:val="009E24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24E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25</Pages>
  <Words>2658</Words>
  <Characters>14622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Otello</dc:creator>
  <cp:keywords/>
  <dc:description/>
  <cp:lastModifiedBy>Maud Otello</cp:lastModifiedBy>
  <cp:revision>25</cp:revision>
  <dcterms:created xsi:type="dcterms:W3CDTF">2024-04-08T13:15:00Z</dcterms:created>
  <dcterms:modified xsi:type="dcterms:W3CDTF">2024-06-05T10:00:00Z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id="8Jx8tUdv"/&gt;&lt;style id="http://www.zotero.org/styles/journal-of-ecology" hasBibliography="1" bibliographyStyleHasBeenSet="0"/&gt;&lt;prefs&gt;&lt;pref name="fieldType" value="Field"/&gt;&lt;/prefs&gt;&lt;/data&gt;</vt:lpwstr>
  </property>
</Properties>
</file>