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pqmiz227fve" w:id="0"/>
      <w:bookmarkEnd w:id="0"/>
      <w:r w:rsidDel="00000000" w:rsidR="00000000" w:rsidRPr="00000000">
        <w:rPr>
          <w:rtl w:val="0"/>
        </w:rPr>
        <w:t xml:space="preserve">Steps for downloading Sequence Data from NCBI</w:t>
      </w:r>
    </w:p>
    <w:p w:rsidR="00000000" w:rsidDel="00000000" w:rsidP="00000000" w:rsidRDefault="00000000" w:rsidRPr="00000000" w14:paraId="00000002">
      <w:pPr>
        <w:rPr/>
      </w:pPr>
      <w:r w:rsidDel="00000000" w:rsidR="00000000" w:rsidRPr="00000000">
        <w:rPr>
          <w:rtl w:val="0"/>
        </w:rPr>
        <w:t xml:space="preserve">This example is goes over downloading sequences used in this study: </w:t>
      </w:r>
      <w:hyperlink r:id="rId6">
        <w:r w:rsidDel="00000000" w:rsidR="00000000" w:rsidRPr="00000000">
          <w:rPr>
            <w:color w:val="1155cc"/>
            <w:u w:val="single"/>
            <w:rtl w:val="0"/>
          </w:rPr>
          <w:t xml:space="preserve">https://www.frontiersin.org/articles/10.3389/fcimb.2020.00063/full#h6</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authors specifically state: </w:t>
      </w:r>
    </w:p>
    <w:p w:rsidR="00000000" w:rsidDel="00000000" w:rsidP="00000000" w:rsidRDefault="00000000" w:rsidRPr="00000000" w14:paraId="00000005">
      <w:pPr>
        <w:rPr/>
      </w:pPr>
      <w:r w:rsidDel="00000000" w:rsidR="00000000" w:rsidRPr="00000000">
        <w:rPr>
          <w:rtl w:val="0"/>
        </w:rPr>
        <w:t xml:space="preserve">“Sequence data are available from SRA BioProject PRJNA607849 (</w:t>
      </w:r>
      <w:hyperlink r:id="rId7">
        <w:r w:rsidDel="00000000" w:rsidR="00000000" w:rsidRPr="00000000">
          <w:rPr>
            <w:color w:val="1155cc"/>
            <w:u w:val="single"/>
            <w:rtl w:val="0"/>
          </w:rPr>
          <w:t xml:space="preserve">http://www.ncbi.nlm.nih.gov/bioproject/607849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Getting Specific Accession Codes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Click on the ncbi link above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Click on the number </w:t>
      </w:r>
      <w:r w:rsidDel="00000000" w:rsidR="00000000" w:rsidRPr="00000000">
        <w:rPr>
          <w:b w:val="1"/>
          <w:rtl w:val="0"/>
        </w:rPr>
        <w:t xml:space="preserve">291</w:t>
      </w:r>
      <w:r w:rsidDel="00000000" w:rsidR="00000000" w:rsidRPr="00000000">
        <w:rPr>
          <w:rtl w:val="0"/>
        </w:rPr>
        <w:t xml:space="preserve"> under the </w:t>
      </w:r>
      <w:r w:rsidDel="00000000" w:rsidR="00000000" w:rsidRPr="00000000">
        <w:rPr>
          <w:b w:val="1"/>
          <w:rtl w:val="0"/>
        </w:rPr>
        <w:t xml:space="preserve">Number of Links</w:t>
      </w:r>
      <w:r w:rsidDel="00000000" w:rsidR="00000000" w:rsidRPr="00000000">
        <w:rPr>
          <w:rtl w:val="0"/>
        </w:rPr>
        <w:t xml:space="preserve"> for </w:t>
      </w:r>
      <w:r w:rsidDel="00000000" w:rsidR="00000000" w:rsidRPr="00000000">
        <w:rPr>
          <w:b w:val="1"/>
          <w:rtl w:val="0"/>
        </w:rPr>
        <w:t xml:space="preserve">SRA Experiments</w:t>
      </w:r>
      <w:r w:rsidDel="00000000" w:rsidR="00000000" w:rsidRPr="00000000">
        <w:rPr/>
        <mc:AlternateContent>
          <mc:Choice Requires="wpg">
            <w:drawing>
              <wp:inline distB="114300" distT="114300" distL="114300" distR="114300">
                <wp:extent cx="5517487" cy="3224506"/>
                <wp:effectExtent b="0" l="0" r="0" t="0"/>
                <wp:docPr id="1" name=""/>
                <a:graphic>
                  <a:graphicData uri="http://schemas.microsoft.com/office/word/2010/wordprocessingGroup">
                    <wpg:wgp>
                      <wpg:cNvGrpSpPr/>
                      <wpg:grpSpPr>
                        <a:xfrm>
                          <a:off x="152400" y="152400"/>
                          <a:ext cx="5517487" cy="3224506"/>
                          <a:chOff x="152400" y="152400"/>
                          <a:chExt cx="4143375" cy="2419350"/>
                        </a:xfrm>
                      </wpg:grpSpPr>
                      <pic:pic>
                        <pic:nvPicPr>
                          <pic:cNvPr id="2" name="Shape 2"/>
                          <pic:cNvPicPr preferRelativeResize="0"/>
                        </pic:nvPicPr>
                        <pic:blipFill>
                          <a:blip r:embed="rId8">
                            <a:alphaModFix/>
                          </a:blip>
                          <a:stretch>
                            <a:fillRect/>
                          </a:stretch>
                        </pic:blipFill>
                        <pic:spPr>
                          <a:xfrm>
                            <a:off x="152400" y="152400"/>
                            <a:ext cx="4143375" cy="2419350"/>
                          </a:xfrm>
                          <a:prstGeom prst="rect">
                            <a:avLst/>
                          </a:prstGeom>
                          <a:noFill/>
                          <a:ln cap="flat" cmpd="sng" w="25400">
                            <a:solidFill>
                              <a:srgbClr val="434343"/>
                            </a:solidFill>
                            <a:prstDash val="solid"/>
                            <a:miter lim="8000"/>
                            <a:headEnd len="sm" w="sm" type="none"/>
                            <a:tailEnd len="sm" w="sm" type="none"/>
                          </a:ln>
                        </pic:spPr>
                      </pic:pic>
                      <wps:wsp>
                        <wps:cNvSpPr/>
                        <wps:cNvPr id="3" name="Shape 3"/>
                        <wps:spPr>
                          <a:xfrm>
                            <a:off x="2136100" y="1867275"/>
                            <a:ext cx="1382100" cy="166800"/>
                          </a:xfrm>
                          <a:prstGeom prst="leftArrow">
                            <a:avLst>
                              <a:gd fmla="val 50000" name="adj1"/>
                              <a:gd fmla="val 50000" name="adj2"/>
                            </a:avLst>
                          </a:prstGeom>
                          <a:solidFill>
                            <a:srgbClr val="FF0000"/>
                          </a:solidFill>
                          <a:ln cap="flat" cmpd="sng" w="25400">
                            <a:solidFill>
                              <a:srgbClr val="43434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517487" cy="3224506"/>
                <wp:effectExtent b="0" l="0" r="0" t="0"/>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517487" cy="32245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This will take you here:</w:t>
      </w:r>
      <w:r w:rsidDel="00000000" w:rsidR="00000000" w:rsidRPr="00000000">
        <w:rPr/>
        <w:drawing>
          <wp:inline distB="114300" distT="114300" distL="114300" distR="114300">
            <wp:extent cx="5566329" cy="3247025"/>
            <wp:effectExtent b="25400" l="25400" r="25400" t="254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66329" cy="3247025"/>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We are going to take only a subset of the data available to us here. Specifically, we only want sequence data taken from adults who are diabetic. We can subset the search results by typing “diabetic” into the </w:t>
      </w:r>
      <w:r w:rsidDel="00000000" w:rsidR="00000000" w:rsidRPr="00000000">
        <w:rPr>
          <w:b w:val="1"/>
          <w:rtl w:val="0"/>
        </w:rPr>
        <w:t xml:space="preserve">Search details</w:t>
      </w:r>
      <w:r w:rsidDel="00000000" w:rsidR="00000000" w:rsidRPr="00000000">
        <w:rPr>
          <w:rtl w:val="0"/>
        </w:rPr>
        <w:t xml:space="preserve"> box and hit </w:t>
      </w:r>
      <w:r w:rsidDel="00000000" w:rsidR="00000000" w:rsidRPr="00000000">
        <w:rPr>
          <w:b w:val="1"/>
          <w:rtl w:val="0"/>
        </w:rPr>
        <w:t xml:space="preserve">enter</w:t>
      </w:r>
      <w:r w:rsidDel="00000000" w:rsidR="00000000" w:rsidRPr="00000000">
        <w:rPr>
          <w:rtl w:val="0"/>
        </w:rPr>
        <w:t xml:space="preserve">. </w:t>
      </w:r>
      <w:r w:rsidDel="00000000" w:rsidR="00000000" w:rsidRPr="00000000">
        <w:rPr/>
        <w:drawing>
          <wp:inline distB="114300" distT="114300" distL="114300" distR="114300">
            <wp:extent cx="2838450" cy="1590675"/>
            <wp:effectExtent b="25400" l="25400" r="25400" t="254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38450" cy="1590675"/>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Now on our current </w:t>
      </w:r>
      <w:r w:rsidDel="00000000" w:rsidR="00000000" w:rsidRPr="00000000">
        <w:rPr>
          <w:b w:val="1"/>
          <w:rtl w:val="0"/>
        </w:rPr>
        <w:t xml:space="preserve">Search results</w:t>
      </w:r>
      <w:r w:rsidDel="00000000" w:rsidR="00000000" w:rsidRPr="00000000">
        <w:rPr>
          <w:rtl w:val="0"/>
        </w:rPr>
        <w:t xml:space="preserve"> page we are only seeing sequence data taken from diabetic adults. Click on the </w:t>
      </w:r>
      <w:r w:rsidDel="00000000" w:rsidR="00000000" w:rsidRPr="00000000">
        <w:rPr>
          <w:b w:val="1"/>
          <w:rtl w:val="0"/>
        </w:rPr>
        <w:t xml:space="preserve">Send to:</w:t>
      </w:r>
      <w:r w:rsidDel="00000000" w:rsidR="00000000" w:rsidRPr="00000000">
        <w:rPr>
          <w:rtl w:val="0"/>
        </w:rPr>
        <w:t xml:space="preserve"> (in the top right corner) and select </w:t>
      </w:r>
      <w:r w:rsidDel="00000000" w:rsidR="00000000" w:rsidRPr="00000000">
        <w:rPr>
          <w:b w:val="1"/>
          <w:rtl w:val="0"/>
        </w:rPr>
        <w:t xml:space="preserve">File</w:t>
      </w:r>
      <w:r w:rsidDel="00000000" w:rsidR="00000000" w:rsidRPr="00000000">
        <w:rPr>
          <w:rtl w:val="0"/>
        </w:rPr>
        <w:t xml:space="preserve">.</w:t>
        <w:tab/>
      </w:r>
      <w:r w:rsidDel="00000000" w:rsidR="00000000" w:rsidRPr="00000000">
        <w:rPr/>
        <w:drawing>
          <wp:inline distB="114300" distT="114300" distL="114300" distR="114300">
            <wp:extent cx="2867025" cy="1171575"/>
            <wp:effectExtent b="25400" l="25400" r="25400" t="254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67025" cy="1171575"/>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In the dropdown window, change the </w:t>
      </w:r>
      <w:r w:rsidDel="00000000" w:rsidR="00000000" w:rsidRPr="00000000">
        <w:rPr>
          <w:b w:val="1"/>
          <w:rtl w:val="0"/>
        </w:rPr>
        <w:t xml:space="preserve">Format</w:t>
      </w:r>
      <w:r w:rsidDel="00000000" w:rsidR="00000000" w:rsidRPr="00000000">
        <w:rPr>
          <w:rtl w:val="0"/>
        </w:rPr>
        <w:t xml:space="preserve"> to </w:t>
      </w:r>
      <w:r w:rsidDel="00000000" w:rsidR="00000000" w:rsidRPr="00000000">
        <w:rPr>
          <w:b w:val="1"/>
          <w:rtl w:val="0"/>
        </w:rPr>
        <w:t xml:space="preserve">Accession List </w:t>
      </w:r>
      <w:r w:rsidDel="00000000" w:rsidR="00000000" w:rsidRPr="00000000">
        <w:rPr>
          <w:rtl w:val="0"/>
        </w:rPr>
        <w:t xml:space="preserve">and click </w:t>
      </w:r>
      <w:r w:rsidDel="00000000" w:rsidR="00000000" w:rsidRPr="00000000">
        <w:rPr>
          <w:b w:val="1"/>
          <w:rtl w:val="0"/>
        </w:rPr>
        <w:t xml:space="preserve">Create File. </w:t>
      </w:r>
      <w:r w:rsidDel="00000000" w:rsidR="00000000" w:rsidRPr="00000000">
        <w:rPr>
          <w:rtl w:val="0"/>
        </w:rPr>
        <w:t xml:space="preserve">This will download all accession codes for diabetic adults in the current study. Save this file for later. It will be named something similar to </w:t>
      </w:r>
      <w:r w:rsidDel="00000000" w:rsidR="00000000" w:rsidRPr="00000000">
        <w:rPr>
          <w:rFonts w:ascii="Roboto Mono Medium" w:cs="Roboto Mono Medium" w:eastAsia="Roboto Mono Medium" w:hAnsi="Roboto Mono Medium"/>
          <w:rtl w:val="0"/>
        </w:rPr>
        <w:t xml:space="preserve">SraAccList.txt</w:t>
      </w:r>
      <w:r w:rsidDel="00000000" w:rsidR="00000000" w:rsidRPr="00000000">
        <w:rPr>
          <w:b w:val="1"/>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Download and install the NCBI SRA Toolkit</w:t>
      </w:r>
    </w:p>
    <w:p w:rsidR="00000000" w:rsidDel="00000000" w:rsidP="00000000" w:rsidRDefault="00000000" w:rsidRPr="00000000" w14:paraId="00000017">
      <w:pPr>
        <w:ind w:left="720" w:firstLine="0"/>
        <w:rPr/>
      </w:pPr>
      <w:r w:rsidDel="00000000" w:rsidR="00000000" w:rsidRPr="00000000">
        <w:rPr>
          <w:rtl w:val="0"/>
        </w:rPr>
        <w:t xml:space="preserve">(</w:t>
      </w:r>
      <w:r w:rsidDel="00000000" w:rsidR="00000000" w:rsidRPr="00000000">
        <w:rPr>
          <w:b w:val="1"/>
          <w:rtl w:val="0"/>
        </w:rPr>
        <w:t xml:space="preserve">Note: </w:t>
      </w:r>
      <w:r w:rsidDel="00000000" w:rsidR="00000000" w:rsidRPr="00000000">
        <w:rPr>
          <w:rtl w:val="0"/>
        </w:rPr>
        <w:t xml:space="preserve">If working on the CGRB, the </w:t>
      </w:r>
      <w:r w:rsidDel="00000000" w:rsidR="00000000" w:rsidRPr="00000000">
        <w:rPr>
          <w:rFonts w:ascii="Roboto Mono Medium" w:cs="Roboto Mono Medium" w:eastAsia="Roboto Mono Medium" w:hAnsi="Roboto Mono Medium"/>
          <w:rtl w:val="0"/>
        </w:rPr>
        <w:t xml:space="preserve">sratoolkit</w:t>
      </w:r>
      <w:r w:rsidDel="00000000" w:rsidR="00000000" w:rsidRPr="00000000">
        <w:rPr>
          <w:rtl w:val="0"/>
        </w:rPr>
        <w:t xml:space="preserve"> is pre-installed) </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Got to this link: </w:t>
      </w:r>
      <w:hyperlink r:id="rId13">
        <w:r w:rsidDel="00000000" w:rsidR="00000000" w:rsidRPr="00000000">
          <w:rPr>
            <w:color w:val="1155cc"/>
            <w:u w:val="single"/>
            <w:rtl w:val="0"/>
          </w:rPr>
          <w:t xml:space="preserve">https://github.com/ncbi/sra-tools/wiki</w:t>
        </w:r>
      </w:hyperlink>
      <w:r w:rsidDel="00000000" w:rsidR="00000000" w:rsidRPr="00000000">
        <w:rPr>
          <w:rtl w:val="0"/>
        </w:rPr>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Follow steps 1, 2, and possibly 3</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0" w:firstLine="720"/>
        <w:rPr>
          <w:b w:val="1"/>
        </w:rPr>
      </w:pPr>
      <w:r w:rsidDel="00000000" w:rsidR="00000000" w:rsidRPr="00000000">
        <w:rPr>
          <w:b w:val="1"/>
          <w:rtl w:val="0"/>
        </w:rPr>
        <w:t xml:space="preserve">MAKE SURE THE TOOLKIT IS FUNCTIONAL BEFORE MOVING FORWARD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Download all sequence data </w:t>
      </w:r>
    </w:p>
    <w:p w:rsidR="00000000" w:rsidDel="00000000" w:rsidP="00000000" w:rsidRDefault="00000000" w:rsidRPr="00000000" w14:paraId="0000001F">
      <w:pPr>
        <w:ind w:left="720" w:firstLine="0"/>
        <w:rPr/>
      </w:pPr>
      <w:r w:rsidDel="00000000" w:rsidR="00000000" w:rsidRPr="00000000">
        <w:rPr>
          <w:b w:val="1"/>
          <w:rtl w:val="0"/>
        </w:rPr>
        <w:t xml:space="preserve">(</w:t>
      </w:r>
      <w:r w:rsidDel="00000000" w:rsidR="00000000" w:rsidRPr="00000000">
        <w:rPr>
          <w:b w:val="1"/>
          <w:sz w:val="16"/>
          <w:szCs w:val="16"/>
          <w:rtl w:val="0"/>
        </w:rPr>
        <w:t xml:space="preserve">Reference: </w:t>
      </w:r>
      <w:hyperlink r:id="rId14">
        <w:r w:rsidDel="00000000" w:rsidR="00000000" w:rsidRPr="00000000">
          <w:rPr>
            <w:color w:val="1155cc"/>
            <w:sz w:val="16"/>
            <w:szCs w:val="16"/>
            <w:u w:val="single"/>
            <w:rtl w:val="0"/>
          </w:rPr>
          <w:t xml:space="preserve">https://www.reneshbedre.com/blog/ncbi_sra_toolkit.html#customized-download-of-sra-datasets</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0">
      <w:pPr>
        <w:numPr>
          <w:ilvl w:val="1"/>
          <w:numId w:val="1"/>
        </w:numPr>
        <w:ind w:left="1440" w:hanging="360"/>
        <w:rPr>
          <w:b w:val="1"/>
        </w:rPr>
      </w:pPr>
      <w:r w:rsidDel="00000000" w:rsidR="00000000" w:rsidRPr="00000000">
        <w:rPr>
          <w:b w:val="1"/>
          <w:rtl w:val="0"/>
        </w:rPr>
        <w:t xml:space="preserve"> </w:t>
      </w:r>
      <w:r w:rsidDel="00000000" w:rsidR="00000000" w:rsidRPr="00000000">
        <w:rPr>
          <w:rtl w:val="0"/>
        </w:rPr>
        <w:t xml:space="preserve">Write a bash script that downloads all sequence data for the diabetic adults in the study. Here, the list of accession codes is </w:t>
      </w:r>
      <w:r w:rsidDel="00000000" w:rsidR="00000000" w:rsidRPr="00000000">
        <w:rPr>
          <w:rFonts w:ascii="Roboto Mono Medium" w:cs="Roboto Mono Medium" w:eastAsia="Roboto Mono Medium" w:hAnsi="Roboto Mono Medium"/>
          <w:rtl w:val="0"/>
        </w:rPr>
        <w:t xml:space="preserve">SraAccList.txt</w:t>
      </w:r>
      <w:r w:rsidDel="00000000" w:rsidR="00000000" w:rsidRPr="00000000">
        <w:rPr>
          <w:b w:val="1"/>
          <w:rtl w:val="0"/>
        </w:rPr>
        <w:t xml:space="preserve"> </w:t>
      </w:r>
      <w:r w:rsidDel="00000000" w:rsidR="00000000" w:rsidRPr="00000000">
        <w:rPr>
          <w:rtl w:val="0"/>
        </w:rPr>
        <w:t xml:space="preserve">and it is stored in the folder </w:t>
      </w:r>
      <w:r w:rsidDel="00000000" w:rsidR="00000000" w:rsidRPr="00000000">
        <w:rPr>
          <w:rFonts w:ascii="Roboto Mono Medium" w:cs="Roboto Mono Medium" w:eastAsia="Roboto Mono Medium" w:hAnsi="Roboto Mono Medium"/>
          <w:rtl w:val="0"/>
        </w:rPr>
        <w:t xml:space="preserve">~/Documents/retrieve_ncbi_files</w:t>
      </w:r>
      <w:r w:rsidDel="00000000" w:rsidR="00000000" w:rsidRPr="00000000">
        <w:rPr>
          <w:rtl w:val="0"/>
        </w:rPr>
        <w:t xml:space="preserve">.</w:t>
      </w:r>
    </w:p>
    <w:p w:rsidR="00000000" w:rsidDel="00000000" w:rsidP="00000000" w:rsidRDefault="00000000" w:rsidRPr="00000000" w14:paraId="00000021">
      <w:pPr>
        <w:ind w:left="1440" w:firstLine="0"/>
        <w:rPr>
          <w:b w:val="1"/>
        </w:rPr>
      </w:pPr>
      <w:r w:rsidDel="00000000" w:rsidR="00000000" w:rsidRPr="00000000">
        <w:rPr>
          <w:b w:val="1"/>
        </w:rPr>
        <w:drawing>
          <wp:inline distB="114300" distT="114300" distL="114300" distR="114300">
            <wp:extent cx="5090407" cy="1827326"/>
            <wp:effectExtent b="25400" l="25400" r="25400" t="2540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90407" cy="1827326"/>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ind w:left="1440" w:firstLine="0"/>
        <w:rPr>
          <w:b w:val="1"/>
        </w:rPr>
      </w:pPr>
      <w:r w:rsidDel="00000000" w:rsidR="00000000" w:rsidRPr="00000000">
        <w:rPr>
          <w:b w:val="1"/>
          <w:rtl w:val="0"/>
        </w:rPr>
        <w:t xml:space="preserve">Note: </w:t>
      </w:r>
    </w:p>
    <w:p w:rsidR="00000000" w:rsidDel="00000000" w:rsidP="00000000" w:rsidRDefault="00000000" w:rsidRPr="00000000" w14:paraId="00000023">
      <w:pPr>
        <w:numPr>
          <w:ilvl w:val="0"/>
          <w:numId w:val="3"/>
        </w:numPr>
        <w:ind w:left="2160" w:hanging="360"/>
        <w:rPr>
          <w:u w:val="none"/>
        </w:rPr>
      </w:pPr>
      <w:r w:rsidDel="00000000" w:rsidR="00000000" w:rsidRPr="00000000">
        <w:rPr>
          <w:b w:val="1"/>
          <w:rtl w:val="0"/>
        </w:rPr>
        <w:t xml:space="preserve"> </w:t>
      </w:r>
      <w:r w:rsidDel="00000000" w:rsidR="00000000" w:rsidRPr="00000000">
        <w:rPr>
          <w:rtl w:val="0"/>
        </w:rPr>
        <w:t xml:space="preserve">If the FASTQ files are paired-end, use </w:t>
      </w:r>
      <w:r w:rsidDel="00000000" w:rsidR="00000000" w:rsidRPr="00000000">
        <w:rPr>
          <w:rFonts w:ascii="Roboto Mono" w:cs="Roboto Mono" w:eastAsia="Roboto Mono" w:hAnsi="Roboto Mono"/>
          <w:rtl w:val="0"/>
        </w:rPr>
        <w:t xml:space="preserve">--split-files</w:t>
      </w:r>
      <w:r w:rsidDel="00000000" w:rsidR="00000000" w:rsidRPr="00000000">
        <w:rPr>
          <w:rtl w:val="0"/>
        </w:rPr>
        <w:t xml:space="preserve">. </w:t>
      </w:r>
    </w:p>
    <w:p w:rsidR="00000000" w:rsidDel="00000000" w:rsidP="00000000" w:rsidRDefault="00000000" w:rsidRPr="00000000" w14:paraId="00000024">
      <w:pPr>
        <w:ind w:left="0" w:firstLine="0"/>
        <w:rPr>
          <w:rFonts w:ascii="Roboto Mono" w:cs="Roboto Mono" w:eastAsia="Roboto Mono" w:hAnsi="Roboto Mono"/>
          <w:highlight w:val="yellow"/>
        </w:rPr>
      </w:pPr>
      <w:r w:rsidDel="00000000" w:rsidR="00000000" w:rsidRPr="00000000">
        <w:rPr>
          <w:b w:val="1"/>
          <w:rtl w:val="0"/>
        </w:rPr>
        <w:tab/>
        <w:tab/>
        <w:tab/>
        <w:t xml:space="preserve">EX: </w:t>
      </w:r>
      <w:r w:rsidDel="00000000" w:rsidR="00000000" w:rsidRPr="00000000">
        <w:rPr>
          <w:rFonts w:ascii="Roboto Mono" w:cs="Roboto Mono" w:eastAsia="Roboto Mono" w:hAnsi="Roboto Mono"/>
          <w:highlight w:val="yellow"/>
          <w:rtl w:val="0"/>
        </w:rPr>
        <w:t xml:space="preserve">fastq-dump --split-files $line</w:t>
      </w:r>
    </w:p>
    <w:p w:rsidR="00000000" w:rsidDel="00000000" w:rsidP="00000000" w:rsidRDefault="00000000" w:rsidRPr="00000000" w14:paraId="00000025">
      <w:pPr>
        <w:ind w:left="2160" w:firstLine="0"/>
        <w:rPr/>
      </w:pPr>
      <w:r w:rsidDel="00000000" w:rsidR="00000000" w:rsidRPr="00000000">
        <w:rPr>
          <w:rtl w:val="0"/>
        </w:rPr>
        <w:t xml:space="preserve">If you don’t use </w:t>
      </w:r>
      <w:r w:rsidDel="00000000" w:rsidR="00000000" w:rsidRPr="00000000">
        <w:rPr>
          <w:rFonts w:ascii="Roboto Mono" w:cs="Roboto Mono" w:eastAsia="Roboto Mono" w:hAnsi="Roboto Mono"/>
          <w:rtl w:val="0"/>
        </w:rPr>
        <w:t xml:space="preserve">--split-files</w:t>
      </w:r>
      <w:r w:rsidDel="00000000" w:rsidR="00000000" w:rsidRPr="00000000">
        <w:rPr>
          <w:rtl w:val="0"/>
        </w:rPr>
        <w:t xml:space="preserve"> for paired-ends, the reads will be merged from both ends.</w:t>
      </w:r>
    </w:p>
    <w:p w:rsidR="00000000" w:rsidDel="00000000" w:rsidP="00000000" w:rsidRDefault="00000000" w:rsidRPr="00000000" w14:paraId="00000026">
      <w:pPr>
        <w:ind w:left="1800" w:firstLine="0"/>
        <w:rPr/>
      </w:pPr>
      <w:r w:rsidDel="00000000" w:rsidR="00000000" w:rsidRPr="00000000">
        <w:rPr>
          <w:rtl w:val="0"/>
        </w:rPr>
        <w:t xml:space="preserve">2.</w:t>
        <w:tab/>
        <w:t xml:space="preserve">You can also convert the FASTQ files to FASTA while downloading. </w:t>
      </w:r>
    </w:p>
    <w:p w:rsidR="00000000" w:rsidDel="00000000" w:rsidP="00000000" w:rsidRDefault="00000000" w:rsidRPr="00000000" w14:paraId="00000027">
      <w:pPr>
        <w:ind w:left="2160" w:firstLine="0"/>
        <w:rPr>
          <w:rFonts w:ascii="Roboto Mono" w:cs="Roboto Mono" w:eastAsia="Roboto Mono" w:hAnsi="Roboto Mono"/>
          <w:highlight w:val="yellow"/>
        </w:rPr>
      </w:pPr>
      <w:r w:rsidDel="00000000" w:rsidR="00000000" w:rsidRPr="00000000">
        <w:rPr>
          <w:b w:val="1"/>
          <w:rtl w:val="0"/>
        </w:rPr>
        <w:t xml:space="preserve">EX:</w:t>
      </w:r>
      <w:r w:rsidDel="00000000" w:rsidR="00000000" w:rsidRPr="00000000">
        <w:rPr>
          <w:rtl w:val="0"/>
        </w:rPr>
        <w:t xml:space="preserve"> </w:t>
      </w:r>
      <w:r w:rsidDel="00000000" w:rsidR="00000000" w:rsidRPr="00000000">
        <w:rPr>
          <w:rFonts w:ascii="Roboto Mono" w:cs="Roboto Mono" w:eastAsia="Roboto Mono" w:hAnsi="Roboto Mono"/>
          <w:highlight w:val="yellow"/>
          <w:rtl w:val="0"/>
        </w:rPr>
        <w:t xml:space="preserve">fastq-dump --fasta $line</w:t>
      </w:r>
    </w:p>
    <w:p w:rsidR="00000000" w:rsidDel="00000000" w:rsidP="00000000" w:rsidRDefault="00000000" w:rsidRPr="00000000" w14:paraId="00000028">
      <w:pPr>
        <w:ind w:left="2160" w:firstLine="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u w:val="none"/>
        </w:rPr>
      </w:pPr>
      <w:r w:rsidDel="00000000" w:rsidR="00000000" w:rsidRPr="00000000">
        <w:rPr>
          <w:b w:val="1"/>
          <w:rtl w:val="0"/>
        </w:rPr>
        <w:t xml:space="preserve">Upload the data to the CGRB</w:t>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Useful documentation for easy upload/download to CGRB: </w:t>
      </w:r>
      <w:hyperlink r:id="rId16">
        <w:r w:rsidDel="00000000" w:rsidR="00000000" w:rsidRPr="00000000">
          <w:rPr>
            <w:color w:val="1155cc"/>
            <w:u w:val="single"/>
            <w:rtl w:val="0"/>
          </w:rPr>
          <w:t xml:space="preserve">https://shell.cqls.oregonstate.edu/files/cgrb_files_access.pdf</w:t>
        </w:r>
      </w:hyperlink>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rFonts w:ascii="Roboto Mono Medium" w:cs="Roboto Mono Medium" w:eastAsia="Roboto Mono Medium" w:hAnsi="Roboto Mono Medium"/>
        </w:rPr>
      </w:pPr>
      <w:r w:rsidDel="00000000" w:rsidR="00000000" w:rsidRPr="00000000">
        <w:rPr>
          <w:b w:val="1"/>
          <w:rtl w:val="0"/>
        </w:rPr>
        <w:t xml:space="preserve">Note:</w:t>
      </w:r>
      <w:r w:rsidDel="00000000" w:rsidR="00000000" w:rsidRPr="00000000">
        <w:rPr>
          <w:rtl w:val="0"/>
        </w:rPr>
        <w:t xml:space="preserve"> The </w:t>
      </w:r>
      <w:r w:rsidDel="00000000" w:rsidR="00000000" w:rsidRPr="00000000">
        <w:rPr>
          <w:rFonts w:ascii="Roboto Mono Medium" w:cs="Roboto Mono Medium" w:eastAsia="Roboto Mono Medium" w:hAnsi="Roboto Mono Medium"/>
          <w:rtl w:val="0"/>
        </w:rPr>
        <w:t xml:space="preserve">sratoolkit</w:t>
      </w:r>
      <w:r w:rsidDel="00000000" w:rsidR="00000000" w:rsidRPr="00000000">
        <w:rPr>
          <w:rtl w:val="0"/>
        </w:rPr>
        <w:t xml:space="preserve"> is already installed on the CGRB in </w:t>
      </w:r>
      <w:r w:rsidDel="00000000" w:rsidR="00000000" w:rsidRPr="00000000">
        <w:rPr>
          <w:rFonts w:ascii="Roboto Mono Medium" w:cs="Roboto Mono Medium" w:eastAsia="Roboto Mono Medium" w:hAnsi="Roboto Mono Medium"/>
          <w:rtl w:val="0"/>
        </w:rPr>
        <w:t xml:space="preserve">/local/cluster</w:t>
      </w:r>
    </w:p>
    <w:p w:rsidR="00000000" w:rsidDel="00000000" w:rsidP="00000000" w:rsidRDefault="00000000" w:rsidRPr="00000000" w14:paraId="0000002E">
      <w:pPr>
        <w:ind w:left="0" w:firstLine="0"/>
        <w:rPr/>
      </w:pPr>
      <w:r w:rsidDel="00000000" w:rsidR="00000000" w:rsidRPr="00000000">
        <w:rPr>
          <w:rFonts w:ascii="Roboto Mono Medium" w:cs="Roboto Mono Medium" w:eastAsia="Roboto Mono Medium" w:hAnsi="Roboto Mono Medium"/>
          <w:rtl w:val="0"/>
        </w:rPr>
        <w:tab/>
        <w:tab/>
      </w:r>
      <w:r w:rsidDel="00000000" w:rsidR="00000000" w:rsidRPr="00000000">
        <w:rPr>
          <w:rtl w:val="0"/>
        </w:rPr>
        <w:t xml:space="preserve">No need to download it directly to your own computer if you don’t need to.</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rFonts w:ascii="Roboto Mono" w:cs="Roboto Mono" w:eastAsia="Roboto Mono" w:hAnsi="Roboto Mono"/>
          <w:highlight w:val="yellow"/>
        </w:rPr>
      </w:pPr>
      <w:r w:rsidDel="00000000" w:rsidR="00000000" w:rsidRPr="00000000">
        <w:rPr>
          <w:b w:val="1"/>
          <w:rtl w:val="0"/>
        </w:rPr>
        <w:t xml:space="preserve">Note:</w:t>
      </w:r>
      <w:r w:rsidDel="00000000" w:rsidR="00000000" w:rsidRPr="00000000">
        <w:rPr>
          <w:rtl w:val="0"/>
        </w:rPr>
        <w:t xml:space="preserve"> If downloading directly to the CGRB, you will need to run the command: </w:t>
      </w:r>
      <w:r w:rsidDel="00000000" w:rsidR="00000000" w:rsidRPr="00000000">
        <w:rPr>
          <w:rFonts w:ascii="Roboto Mono" w:cs="Roboto Mono" w:eastAsia="Roboto Mono" w:hAnsi="Roboto Mono"/>
          <w:highlight w:val="yellow"/>
          <w:rtl w:val="0"/>
        </w:rPr>
        <w:t xml:space="preserve">vdb-config --interactive</w:t>
      </w:r>
    </w:p>
    <w:p w:rsidR="00000000" w:rsidDel="00000000" w:rsidP="00000000" w:rsidRDefault="00000000" w:rsidRPr="00000000" w14:paraId="00000031">
      <w:pPr>
        <w:ind w:left="0" w:firstLine="0"/>
        <w:rPr/>
      </w:pPr>
      <w:hyperlink r:id="rId17">
        <w:r w:rsidDel="00000000" w:rsidR="00000000" w:rsidRPr="00000000">
          <w:rPr>
            <w:color w:val="1155cc"/>
            <w:u w:val="single"/>
            <w:rtl w:val="0"/>
          </w:rPr>
          <w:t xml:space="preserve">https://github.com/ncbi/sra-tools/wiki/03.-Quick-Toolkit-Configuration</w:t>
        </w:r>
      </w:hyperlink>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You will see a screen where you operate the buttons by pressing the letter highlighted in red, or by pressing the tab-key until the wanted button is reached and then pressing the space- or the enter-key.</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You want to enable the "Remote Access" option on the Main screen.</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Proceed to the "Cache" tab where you will want to enable "local file-caching" and you want to set the "Location of user-repository".</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a) The repository directory needs to be set to an empty folder. This is the folder where prefetch will deposit the files.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Go to your cloud provider tab and accept to "report cloud instance identity".</w:t>
      </w:r>
    </w:p>
    <w:p w:rsidR="00000000" w:rsidDel="00000000" w:rsidP="00000000" w:rsidRDefault="00000000" w:rsidRPr="00000000" w14:paraId="00000039">
      <w:pPr>
        <w:ind w:left="720" w:firstLine="0"/>
        <w:rPr/>
      </w:pPr>
      <w:r w:rsidDel="00000000" w:rsidR="00000000" w:rsidRPr="00000000">
        <w:rPr>
          <w:b w:val="1"/>
          <w:rtl w:val="0"/>
        </w:rPr>
        <w:t xml:space="preserve">NOTE:</w:t>
      </w:r>
      <w:r w:rsidDel="00000000" w:rsidR="00000000" w:rsidRPr="00000000">
        <w:rPr>
          <w:rtl w:val="0"/>
        </w:rPr>
        <w:t xml:space="preserve"> You do not need to have an AWS or GCP account to download the data. Just choose a random one and you should be fine. The cloud instance identity only reports back in what cloud (AWS v GCP) you are working so you can access data for free.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github.com/ncbi/sra-tools/wiki"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hyperlink" Target="https://www.reneshbedre.com/blog/ncbi_sra_toolkit.html#customized-download-of-sra-datasets" TargetMode="External"/><Relationship Id="rId17" Type="http://schemas.openxmlformats.org/officeDocument/2006/relationships/hyperlink" Target="https://github.com/ncbi/sra-tools/wiki/03.-Quick-Toolkit-Configuration" TargetMode="External"/><Relationship Id="rId16" Type="http://schemas.openxmlformats.org/officeDocument/2006/relationships/hyperlink" Target="https://shell.cqls.oregonstate.edu/files/cgrb_files_access.pdf" TargetMode="External"/><Relationship Id="rId5" Type="http://schemas.openxmlformats.org/officeDocument/2006/relationships/styles" Target="styles.xml"/><Relationship Id="rId6" Type="http://schemas.openxmlformats.org/officeDocument/2006/relationships/hyperlink" Target="https://www.frontiersin.org/articles/10.3389/fcimb.2020.00063/full#h6" TargetMode="External"/><Relationship Id="rId7" Type="http://schemas.openxmlformats.org/officeDocument/2006/relationships/hyperlink" Target="http://www.ncbi.nlm.nih.gov/bioproject/607849"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